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360"/>
        </w:tabs>
        <w:spacing w:after="60" w:line="240" w:lineRule="auto"/>
        <w:jc w:val="both"/>
        <w:rPr>
          <w:rFonts w:hint="default" w:eastAsia="宋体" w:cs="Arial"/>
          <w:b/>
          <w:color w:val="FFFFFF"/>
          <w:sz w:val="22"/>
          <w:szCs w:val="22"/>
          <w:lang w:val="en-US" w:eastAsia="zh-CN"/>
        </w:rPr>
      </w:pPr>
      <w:bookmarkStart w:id="0" w:name="OLE_LINK6"/>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Meeting </w:t>
      </w:r>
      <w:r>
        <w:rPr>
          <w:rFonts w:eastAsia="宋体" w:cs="Arial"/>
          <w:b/>
          <w:sz w:val="22"/>
          <w:szCs w:val="22"/>
          <w:lang w:val="en-US" w:eastAsia="zh-CN"/>
        </w:rPr>
        <w:t>#9</w:t>
      </w:r>
      <w:r>
        <w:rPr>
          <w:rFonts w:hint="eastAsia" w:eastAsia="宋体" w:cs="Arial"/>
          <w:b/>
          <w:sz w:val="22"/>
          <w:szCs w:val="22"/>
          <w:lang w:val="en-US" w:eastAsia="zh-CN"/>
        </w:rPr>
        <w:t>8</w:t>
      </w:r>
      <w:r>
        <w:rPr>
          <w:rFonts w:eastAsia="宋体" w:cs="Arial"/>
          <w:b/>
          <w:sz w:val="22"/>
          <w:szCs w:val="22"/>
          <w:lang w:val="en-US" w:eastAsia="zh-CN"/>
        </w:rPr>
        <w:tab/>
      </w:r>
      <w:r>
        <w:rPr>
          <w:rFonts w:eastAsia="宋体" w:cs="Arial"/>
          <w:b/>
          <w:sz w:val="22"/>
          <w:szCs w:val="22"/>
          <w:lang w:val="sv-SE" w:eastAsia="zh-CN"/>
        </w:rPr>
        <w:t>R1-</w:t>
      </w:r>
      <w:r>
        <w:rPr>
          <w:rFonts w:eastAsia="宋体" w:cs="Arial"/>
          <w:b/>
          <w:sz w:val="22"/>
          <w:szCs w:val="22"/>
          <w:lang w:val="en-US" w:eastAsia="zh-CN"/>
        </w:rPr>
        <w:t>190</w:t>
      </w:r>
      <w:r>
        <w:rPr>
          <w:rFonts w:hint="eastAsia" w:eastAsia="宋体" w:cs="Arial"/>
          <w:b/>
          <w:sz w:val="22"/>
          <w:szCs w:val="22"/>
          <w:lang w:val="en-US" w:eastAsia="zh-CN"/>
        </w:rPr>
        <w:t>8205</w:t>
      </w:r>
    </w:p>
    <w:p>
      <w:pPr>
        <w:pStyle w:val="94"/>
        <w:tabs>
          <w:tab w:val="right" w:pos="9270"/>
        </w:tabs>
        <w:spacing w:after="60" w:line="240" w:lineRule="auto"/>
        <w:ind w:right="134"/>
        <w:jc w:val="both"/>
        <w:rPr>
          <w:rFonts w:cs="Arial"/>
          <w:b/>
          <w:sz w:val="22"/>
          <w:szCs w:val="22"/>
          <w:lang w:val="sv-SE"/>
        </w:rPr>
      </w:pPr>
      <w:r>
        <w:rPr>
          <w:rFonts w:hint="eastAsia" w:eastAsia="宋体" w:cs="Arial"/>
          <w:b/>
          <w:bCs/>
          <w:sz w:val="22"/>
          <w:szCs w:val="22"/>
          <w:lang w:val="en-US" w:eastAsia="zh-CN"/>
        </w:rPr>
        <w:t>Prague</w:t>
      </w:r>
      <w:r>
        <w:rPr>
          <w:rFonts w:eastAsia="宋体" w:cs="Arial"/>
          <w:b/>
          <w:bCs/>
          <w:sz w:val="22"/>
          <w:szCs w:val="22"/>
          <w:lang w:val="en-US" w:eastAsia="zh-CN"/>
        </w:rPr>
        <w:t xml:space="preserve">, </w:t>
      </w:r>
      <w:r>
        <w:rPr>
          <w:rFonts w:hint="eastAsia" w:eastAsia="宋体" w:cs="Arial"/>
          <w:b/>
          <w:bCs/>
          <w:sz w:val="22"/>
          <w:szCs w:val="22"/>
          <w:lang w:val="en-US" w:eastAsia="zh-CN"/>
        </w:rPr>
        <w:t>CZ</w:t>
      </w:r>
      <w:r>
        <w:rPr>
          <w:rFonts w:eastAsia="宋体" w:cs="Arial"/>
          <w:b/>
          <w:bCs/>
          <w:sz w:val="22"/>
          <w:szCs w:val="22"/>
          <w:lang w:val="en-US" w:eastAsia="zh-CN"/>
        </w:rPr>
        <w:t xml:space="preserve">, </w:t>
      </w:r>
      <w:r>
        <w:rPr>
          <w:rFonts w:hint="eastAsia" w:eastAsia="宋体" w:cs="Arial"/>
          <w:b/>
          <w:bCs/>
          <w:sz w:val="22"/>
          <w:szCs w:val="22"/>
          <w:lang w:val="en-US" w:eastAsia="zh-CN"/>
        </w:rPr>
        <w:t>26</w:t>
      </w:r>
      <w:r>
        <w:rPr>
          <w:rFonts w:eastAsia="宋体" w:cs="Arial"/>
          <w:b/>
          <w:bCs/>
          <w:sz w:val="22"/>
          <w:szCs w:val="22"/>
          <w:vertAlign w:val="superscript"/>
          <w:lang w:val="en-US" w:eastAsia="zh-CN"/>
        </w:rPr>
        <w:t>th</w:t>
      </w:r>
      <w:r>
        <w:rPr>
          <w:rFonts w:eastAsia="宋体" w:cs="Arial"/>
          <w:b/>
          <w:bCs/>
          <w:sz w:val="22"/>
          <w:szCs w:val="22"/>
          <w:lang w:val="en-US" w:eastAsia="zh-CN"/>
        </w:rPr>
        <w:t xml:space="preserve"> - </w:t>
      </w:r>
      <w:r>
        <w:rPr>
          <w:rFonts w:hint="eastAsia" w:eastAsia="宋体" w:cs="Arial"/>
          <w:b/>
          <w:bCs/>
          <w:sz w:val="22"/>
          <w:szCs w:val="22"/>
          <w:lang w:val="en-US" w:eastAsia="zh-CN"/>
        </w:rPr>
        <w:t>30</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hint="eastAsia" w:eastAsia="宋体" w:cs="Arial"/>
          <w:b/>
          <w:bCs/>
          <w:sz w:val="22"/>
          <w:szCs w:val="22"/>
          <w:lang w:val="en-US" w:eastAsia="zh-CN"/>
        </w:rPr>
        <w:t>Aug</w:t>
      </w:r>
      <w:bookmarkStart w:id="14" w:name="_GoBack"/>
      <w:bookmarkEnd w:id="14"/>
      <w:r>
        <w:rPr>
          <w:rFonts w:hint="eastAsia" w:eastAsia="宋体" w:cs="Arial"/>
          <w:b/>
          <w:bCs/>
          <w:sz w:val="22"/>
          <w:szCs w:val="22"/>
          <w:lang w:val="en-US" w:eastAsia="zh-CN"/>
        </w:rPr>
        <w:t>ust</w:t>
      </w:r>
      <w:r>
        <w:rPr>
          <w:rFonts w:eastAsia="宋体" w:cs="Arial"/>
          <w:b/>
          <w:sz w:val="22"/>
          <w:szCs w:val="22"/>
          <w:lang w:val="en-US" w:eastAsia="zh-CN"/>
        </w:rPr>
        <w:t>,</w:t>
      </w:r>
      <w:r>
        <w:rPr>
          <w:rFonts w:eastAsia="宋体" w:cs="Arial"/>
          <w:b/>
          <w:sz w:val="22"/>
          <w:szCs w:val="22"/>
          <w:lang w:val="sv-SE" w:eastAsia="zh-CN"/>
        </w:rPr>
        <w:t xml:space="preserve"> 201</w:t>
      </w:r>
      <w:r>
        <w:rPr>
          <w:rFonts w:eastAsia="宋体" w:cs="Arial"/>
          <w:b/>
          <w:sz w:val="22"/>
          <w:szCs w:val="22"/>
          <w:lang w:val="en-US" w:eastAsia="zh-CN"/>
        </w:rPr>
        <w:t>9</w:t>
      </w:r>
    </w:p>
    <w:p>
      <w:pPr>
        <w:pStyle w:val="94"/>
        <w:tabs>
          <w:tab w:val="right" w:pos="9639"/>
        </w:tabs>
        <w:spacing w:after="60" w:line="240" w:lineRule="auto"/>
        <w:jc w:val="both"/>
        <w:rPr>
          <w:rFonts w:eastAsia="宋体" w:cs="Arial"/>
          <w:b/>
          <w:sz w:val="22"/>
          <w:szCs w:val="22"/>
          <w:lang w:val="sv-SE" w:eastAsia="zh-CN"/>
        </w:rPr>
      </w:pPr>
    </w:p>
    <w:p>
      <w:pPr>
        <w:pStyle w:val="20"/>
        <w:spacing w:after="60" w:line="240" w:lineRule="auto"/>
        <w:ind w:left="1797" w:hanging="1797"/>
        <w:rPr>
          <w:rFonts w:eastAsia="宋体" w:cs="Arial"/>
          <w:sz w:val="22"/>
          <w:szCs w:val="22"/>
          <w:lang w:eastAsia="zh-CN"/>
        </w:rPr>
      </w:pPr>
      <w:r>
        <w:rPr>
          <w:rFonts w:cs="Arial"/>
          <w:sz w:val="22"/>
          <w:szCs w:val="22"/>
          <w:lang w:eastAsia="zh-CN"/>
        </w:rPr>
        <w:t>Title:</w:t>
      </w:r>
      <w:r>
        <w:rPr>
          <w:rFonts w:cs="Arial"/>
          <w:sz w:val="22"/>
          <w:szCs w:val="22"/>
          <w:lang w:val="en-US" w:eastAsia="zh-CN"/>
        </w:rPr>
        <w:tab/>
      </w:r>
      <w:r>
        <w:rPr>
          <w:rFonts w:cs="Arial"/>
          <w:sz w:val="22"/>
          <w:szCs w:val="22"/>
          <w:lang w:val="en-US" w:eastAsia="zh-CN"/>
        </w:rPr>
        <w:t>Discussion</w:t>
      </w:r>
      <w:r>
        <w:rPr>
          <w:rFonts w:cs="Arial"/>
          <w:sz w:val="22"/>
          <w:szCs w:val="22"/>
          <w:lang w:eastAsia="zh-CN"/>
        </w:rPr>
        <w:t xml:space="preserve"> on </w:t>
      </w:r>
      <w:r>
        <w:rPr>
          <w:rFonts w:cs="Arial"/>
          <w:sz w:val="22"/>
          <w:szCs w:val="22"/>
          <w:lang w:val="en-US" w:eastAsia="zh-CN"/>
        </w:rPr>
        <w:t>channel access procedure</w:t>
      </w:r>
      <w:r>
        <w:rPr>
          <w:rFonts w:cs="Arial"/>
          <w:sz w:val="22"/>
          <w:szCs w:val="22"/>
          <w:lang w:eastAsia="zh-CN"/>
        </w:rPr>
        <w:t xml:space="preserve"> for NR-U</w:t>
      </w:r>
    </w:p>
    <w:p>
      <w:pPr>
        <w:pStyle w:val="20"/>
        <w:tabs>
          <w:tab w:val="left" w:pos="1805"/>
        </w:tabs>
        <w:spacing w:after="60" w:line="240" w:lineRule="auto"/>
        <w:ind w:left="1797" w:hanging="1797"/>
        <w:jc w:val="both"/>
        <w:rPr>
          <w:rFonts w:cs="Arial"/>
          <w:sz w:val="22"/>
          <w:szCs w:val="22"/>
          <w:lang w:eastAsia="zh-CN"/>
        </w:rPr>
      </w:pPr>
      <w:r>
        <w:rPr>
          <w:rFonts w:cs="Arial"/>
          <w:sz w:val="22"/>
          <w:szCs w:val="22"/>
          <w:lang w:eastAsia="zh-CN"/>
        </w:rPr>
        <w:t xml:space="preserve">Source: </w:t>
      </w:r>
      <w:r>
        <w:rPr>
          <w:rFonts w:cs="Arial"/>
          <w:sz w:val="22"/>
          <w:szCs w:val="22"/>
          <w:lang w:eastAsia="zh-CN"/>
        </w:rPr>
        <w:tab/>
      </w:r>
      <w:r>
        <w:rPr>
          <w:rFonts w:cs="Arial"/>
          <w:sz w:val="22"/>
          <w:szCs w:val="22"/>
          <w:lang w:eastAsia="zh-CN"/>
        </w:rPr>
        <w:t>ZTE</w:t>
      </w:r>
      <w:r>
        <w:rPr>
          <w:rFonts w:cs="Arial"/>
          <w:sz w:val="22"/>
          <w:szCs w:val="22"/>
          <w:lang w:val="en-US" w:eastAsia="zh-CN"/>
        </w:rPr>
        <w:t>, Sanechips</w:t>
      </w:r>
    </w:p>
    <w:p>
      <w:pPr>
        <w:pStyle w:val="20"/>
        <w:tabs>
          <w:tab w:val="left" w:pos="1800"/>
        </w:tabs>
        <w:spacing w:after="60" w:line="240" w:lineRule="auto"/>
        <w:jc w:val="both"/>
        <w:rPr>
          <w:rFonts w:cs="Arial"/>
          <w:sz w:val="22"/>
          <w:szCs w:val="22"/>
          <w:lang w:eastAsia="zh-CN"/>
        </w:rPr>
      </w:pPr>
      <w:r>
        <w:rPr>
          <w:rFonts w:cs="Arial"/>
          <w:sz w:val="22"/>
          <w:szCs w:val="22"/>
          <w:lang w:eastAsia="zh-CN"/>
        </w:rPr>
        <w:t>Agenda Item:</w:t>
      </w:r>
      <w:r>
        <w:rPr>
          <w:rFonts w:cs="Arial"/>
          <w:sz w:val="22"/>
          <w:szCs w:val="22"/>
          <w:lang w:eastAsia="zh-CN"/>
        </w:rPr>
        <w:tab/>
      </w:r>
      <w:r>
        <w:rPr>
          <w:rFonts w:eastAsia="宋体" w:cs="Arial"/>
          <w:sz w:val="22"/>
          <w:szCs w:val="22"/>
          <w:lang w:val="en-US" w:eastAsia="zh-CN"/>
        </w:rPr>
        <w:t>7</w:t>
      </w:r>
      <w:r>
        <w:rPr>
          <w:rFonts w:eastAsia="宋体" w:cs="Arial"/>
          <w:sz w:val="22"/>
          <w:szCs w:val="22"/>
          <w:lang w:val="sv-SE" w:eastAsia="zh-CN"/>
        </w:rPr>
        <w:t>.</w:t>
      </w:r>
      <w:r>
        <w:rPr>
          <w:rFonts w:eastAsia="宋体" w:cs="Arial"/>
          <w:sz w:val="22"/>
          <w:szCs w:val="22"/>
          <w:lang w:val="en-US" w:eastAsia="zh-CN"/>
        </w:rPr>
        <w:t>2.2</w:t>
      </w:r>
      <w:r>
        <w:rPr>
          <w:rFonts w:eastAsia="宋体" w:cs="Arial"/>
          <w:sz w:val="22"/>
          <w:szCs w:val="22"/>
          <w:lang w:val="sv-SE" w:eastAsia="zh-CN"/>
        </w:rPr>
        <w:t>.</w:t>
      </w:r>
      <w:r>
        <w:rPr>
          <w:rFonts w:eastAsia="宋体" w:cs="Arial"/>
          <w:sz w:val="22"/>
          <w:szCs w:val="22"/>
          <w:lang w:val="en-US" w:eastAsia="zh-CN"/>
        </w:rPr>
        <w:t>2.1</w:t>
      </w:r>
    </w:p>
    <w:p>
      <w:pPr>
        <w:pStyle w:val="20"/>
        <w:tabs>
          <w:tab w:val="left" w:pos="1800"/>
        </w:tabs>
        <w:spacing w:after="60" w:line="240" w:lineRule="auto"/>
        <w:jc w:val="both"/>
        <w:rPr>
          <w:rFonts w:cs="Arial"/>
          <w:sz w:val="22"/>
          <w:szCs w:val="22"/>
          <w:lang w:eastAsia="zh-CN"/>
        </w:rPr>
      </w:pPr>
      <w:r>
        <w:rPr>
          <w:rFonts w:cs="Arial"/>
          <w:sz w:val="22"/>
          <w:szCs w:val="22"/>
          <w:lang w:eastAsia="zh-CN"/>
        </w:rPr>
        <w:t>Document for:</w:t>
      </w:r>
      <w:r>
        <w:rPr>
          <w:rFonts w:cs="Arial"/>
          <w:sz w:val="22"/>
          <w:szCs w:val="22"/>
          <w:lang w:eastAsia="zh-CN"/>
        </w:rPr>
        <w:tab/>
      </w:r>
      <w:r>
        <w:rPr>
          <w:rFonts w:cs="Arial"/>
          <w:sz w:val="22"/>
          <w:szCs w:val="22"/>
          <w:lang w:eastAsia="zh-CN"/>
        </w:rPr>
        <w:t>Discussion and Decision</w:t>
      </w:r>
    </w:p>
    <w:p>
      <w:pPr>
        <w:pStyle w:val="2"/>
        <w:spacing w:before="120" w:after="120" w:line="240" w:lineRule="auto"/>
        <w:jc w:val="both"/>
        <w:rPr>
          <w:rFonts w:ascii="Times New Roman" w:hAnsi="Times New Roman" w:eastAsia="宋体"/>
          <w:b/>
          <w:sz w:val="32"/>
          <w:szCs w:val="32"/>
          <w:lang w:eastAsia="zh-CN"/>
        </w:rPr>
      </w:pPr>
      <w:r>
        <w:rPr>
          <w:rFonts w:ascii="Times New Roman" w:hAnsi="Times New Roman" w:eastAsia="宋体"/>
          <w:b/>
          <w:sz w:val="32"/>
          <w:szCs w:val="32"/>
          <w:lang w:val="en-US" w:eastAsia="zh-CN"/>
        </w:rPr>
        <w:t xml:space="preserve"> </w:t>
      </w:r>
      <w:r>
        <w:rPr>
          <w:rFonts w:ascii="Times New Roman" w:hAnsi="Times New Roman" w:eastAsia="宋体"/>
          <w:b/>
          <w:sz w:val="32"/>
          <w:szCs w:val="32"/>
          <w:lang w:eastAsia="zh-CN"/>
        </w:rPr>
        <w:t>Introduction</w:t>
      </w:r>
    </w:p>
    <w:p>
      <w:pPr>
        <w:widowControl w:val="0"/>
        <w:autoSpaceDE w:val="0"/>
        <w:autoSpaceDN w:val="0"/>
        <w:adjustRightInd w:val="0"/>
        <w:spacing w:before="137" w:beforeLines="50" w:after="137" w:afterLines="50" w:line="240" w:lineRule="auto"/>
        <w:jc w:val="both"/>
        <w:rPr>
          <w:rFonts w:eastAsia="宋体"/>
          <w:lang w:val="en-US" w:eastAsia="zh-CN"/>
        </w:rPr>
      </w:pPr>
      <w:bookmarkStart w:id="1" w:name="OLE_LINK2"/>
      <w:bookmarkStart w:id="2" w:name="OLE_LINK15"/>
      <w:bookmarkStart w:id="3" w:name="OLE_LINK16"/>
      <w:bookmarkStart w:id="4" w:name="OLE_LINK1"/>
      <w:r>
        <w:rPr>
          <w:rFonts w:eastAsia="宋体"/>
          <w:lang w:eastAsia="zh-CN"/>
        </w:rPr>
        <w:t xml:space="preserve">In </w:t>
      </w:r>
      <w:r>
        <w:rPr>
          <w:rFonts w:hint="eastAsia" w:eastAsia="宋体"/>
          <w:lang w:val="en-US" w:eastAsia="zh-CN"/>
        </w:rPr>
        <w:t xml:space="preserve">RAN #82 meeting, the new WI proposal on </w:t>
      </w:r>
      <w:r>
        <w:rPr>
          <w:rFonts w:eastAsia="宋体"/>
          <w:lang w:val="en-US" w:eastAsia="zh-CN"/>
        </w:rPr>
        <w:t>“</w:t>
      </w:r>
      <w:r>
        <w:rPr>
          <w:rFonts w:hint="eastAsia" w:eastAsia="宋体"/>
          <w:lang w:val="en-US" w:eastAsia="zh-CN"/>
        </w:rPr>
        <w:t>NR-based Access to Unlicensed Spectrum</w:t>
      </w:r>
      <w:r>
        <w:rPr>
          <w:rFonts w:eastAsia="宋体"/>
          <w:lang w:val="en-US" w:eastAsia="zh-CN"/>
        </w:rPr>
        <w:t>”</w:t>
      </w:r>
      <w:r>
        <w:rPr>
          <w:rFonts w:hint="eastAsia" w:eastAsia="宋体"/>
          <w:lang w:val="en-US" w:eastAsia="zh-CN"/>
        </w:rPr>
        <w:t xml:space="preserve"> (NR-U) was approved</w:t>
      </w:r>
      <w:r>
        <w:rPr>
          <w:rFonts w:eastAsia="宋体"/>
          <w:lang w:val="en-US" w:eastAsia="zh-CN"/>
        </w:rPr>
        <w:t xml:space="preserve"> </w:t>
      </w:r>
      <w:r>
        <w:rPr>
          <w:rFonts w:hint="eastAsia" w:eastAsia="宋体"/>
          <w:lang w:val="en-US" w:eastAsia="zh-CN"/>
        </w:rPr>
        <w:t>[1]. Th</w:t>
      </w:r>
      <w:r>
        <w:rPr>
          <w:rFonts w:eastAsia="宋体"/>
          <w:lang w:val="en-US" w:eastAsia="zh-CN"/>
        </w:rPr>
        <w:t>is</w:t>
      </w:r>
      <w:r>
        <w:rPr>
          <w:rFonts w:hint="eastAsia" w:eastAsia="宋体"/>
          <w:lang w:val="en-US" w:eastAsia="zh-CN"/>
        </w:rPr>
        <w:t xml:space="preserve"> WI targets to specify NR enhancements for a single global solution framework operati</w:t>
      </w:r>
      <w:r>
        <w:rPr>
          <w:rFonts w:eastAsia="宋体"/>
          <w:lang w:val="en-US" w:eastAsia="zh-CN"/>
        </w:rPr>
        <w:t>ng</w:t>
      </w:r>
      <w:r>
        <w:rPr>
          <w:rFonts w:hint="eastAsia" w:eastAsia="宋体"/>
          <w:lang w:val="en-US" w:eastAsia="zh-CN"/>
        </w:rPr>
        <w:t xml:space="preserve"> </w:t>
      </w:r>
      <w:r>
        <w:rPr>
          <w:rFonts w:eastAsia="宋体"/>
          <w:lang w:val="en-US" w:eastAsia="zh-CN"/>
        </w:rPr>
        <w:t>i</w:t>
      </w:r>
      <w:r>
        <w:rPr>
          <w:rFonts w:hint="eastAsia" w:eastAsia="宋体"/>
          <w:lang w:val="en-US" w:eastAsia="zh-CN"/>
        </w:rPr>
        <w:t>n unlicense</w:t>
      </w:r>
      <w:r>
        <w:rPr>
          <w:rFonts w:eastAsia="宋体"/>
          <w:lang w:val="en-US" w:eastAsia="zh-CN"/>
        </w:rPr>
        <w:t>d bands, e.g.,</w:t>
      </w:r>
      <w:r>
        <w:rPr>
          <w:rFonts w:hint="eastAsia" w:eastAsia="宋体"/>
          <w:lang w:val="en-US" w:eastAsia="zh-CN"/>
        </w:rPr>
        <w:t xml:space="preserve"> 5</w:t>
      </w:r>
      <w:r>
        <w:rPr>
          <w:rFonts w:eastAsia="宋体"/>
          <w:lang w:val="en-US" w:eastAsia="zh-CN"/>
        </w:rPr>
        <w:t xml:space="preserve"> </w:t>
      </w:r>
      <w:r>
        <w:rPr>
          <w:rFonts w:hint="eastAsia" w:eastAsia="宋体"/>
          <w:lang w:val="en-US" w:eastAsia="zh-CN"/>
        </w:rPr>
        <w:t>GHz and 6</w:t>
      </w:r>
      <w:r>
        <w:rPr>
          <w:rFonts w:eastAsia="宋体"/>
          <w:lang w:val="en-US" w:eastAsia="zh-CN"/>
        </w:rPr>
        <w:t xml:space="preserve"> </w:t>
      </w:r>
      <w:r>
        <w:rPr>
          <w:rFonts w:hint="eastAsia" w:eastAsia="宋体"/>
          <w:lang w:val="en-US" w:eastAsia="zh-CN"/>
        </w:rPr>
        <w:t>GHz. In the WID of NR-U, it was described about the specifying support for channel access. During NR-U SI stage, some agreement</w:t>
      </w:r>
      <w:r>
        <w:rPr>
          <w:rFonts w:eastAsia="宋体"/>
          <w:lang w:val="en-US" w:eastAsia="zh-CN"/>
        </w:rPr>
        <w:t>s</w:t>
      </w:r>
      <w:r>
        <w:rPr>
          <w:rFonts w:hint="eastAsia" w:eastAsia="宋体"/>
          <w:lang w:val="en-US" w:eastAsia="zh-CN"/>
        </w:rPr>
        <w:t xml:space="preserve"> </w:t>
      </w:r>
      <w:r>
        <w:rPr>
          <w:rFonts w:eastAsia="宋体"/>
          <w:lang w:val="en-US" w:eastAsia="zh-CN"/>
        </w:rPr>
        <w:t>were</w:t>
      </w:r>
      <w:r>
        <w:rPr>
          <w:rFonts w:hint="eastAsia" w:eastAsia="宋体"/>
          <w:lang w:val="en-US" w:eastAsia="zh-CN"/>
        </w:rPr>
        <w:t xml:space="preserve"> reached and can be regarded as a starting point for NR-U WID. </w:t>
      </w:r>
    </w:p>
    <w:p>
      <w:pPr>
        <w:widowControl w:val="0"/>
        <w:autoSpaceDE w:val="0"/>
        <w:autoSpaceDN w:val="0"/>
        <w:adjustRightInd w:val="0"/>
        <w:spacing w:before="137" w:beforeLines="50" w:after="137" w:afterLines="50" w:line="240" w:lineRule="auto"/>
        <w:jc w:val="both"/>
        <w:rPr>
          <w:rFonts w:hint="eastAsia" w:eastAsia="宋体"/>
          <w:lang w:val="en-US" w:eastAsia="zh-CN"/>
        </w:rPr>
      </w:pPr>
      <w:r>
        <w:rPr>
          <w:rFonts w:hint="eastAsia" w:eastAsia="宋体"/>
          <w:lang w:val="en-US" w:eastAsia="zh-CN"/>
        </w:rPr>
        <w:t>In RAN1 #97 meeting [2], the following agreement</w:t>
      </w:r>
      <w:r>
        <w:rPr>
          <w:rFonts w:eastAsia="宋体"/>
          <w:lang w:val="en-US" w:eastAsia="zh-CN"/>
        </w:rPr>
        <w:t>s</w:t>
      </w:r>
      <w:r>
        <w:rPr>
          <w:rFonts w:hint="eastAsia" w:eastAsia="宋体"/>
          <w:lang w:val="en-US" w:eastAsia="zh-CN"/>
        </w:rPr>
        <w:t xml:space="preserve"> about channel access </w:t>
      </w:r>
      <w:r>
        <w:rPr>
          <w:rFonts w:eastAsia="宋体"/>
          <w:lang w:val="en-US" w:eastAsia="zh-CN"/>
        </w:rPr>
        <w:t xml:space="preserve">were </w:t>
      </w:r>
      <w:r>
        <w:rPr>
          <w:rFonts w:hint="eastAsia" w:eastAsia="宋体"/>
          <w:lang w:val="en-US" w:eastAsia="zh-CN"/>
        </w:rPr>
        <w:t>reached:</w:t>
      </w:r>
    </w:p>
    <w:p>
      <w:pPr>
        <w:rPr>
          <w:i/>
          <w:iCs/>
        </w:rPr>
      </w:pPr>
      <w:r>
        <w:rPr>
          <w:i/>
          <w:iCs/>
          <w:highlight w:val="green"/>
        </w:rPr>
        <w:t>Agreement:</w:t>
      </w:r>
    </w:p>
    <w:p>
      <w:pPr>
        <w:spacing w:before="137" w:beforeLines="50" w:after="137" w:afterLines="50" w:line="240" w:lineRule="auto"/>
        <w:jc w:val="both"/>
        <w:rPr>
          <w:i/>
          <w:iCs/>
        </w:rPr>
      </w:pPr>
      <w:r>
        <w:rPr>
          <w:i/>
          <w:iCs/>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pPr>
        <w:spacing w:before="137" w:beforeLines="50" w:after="137" w:afterLines="50" w:line="240" w:lineRule="auto"/>
        <w:rPr>
          <w:i/>
          <w:iCs/>
        </w:rPr>
      </w:pPr>
      <w:r>
        <w:rPr>
          <w:i/>
          <w:iCs/>
        </w:rPr>
        <w:t>Note: this is the Alt 1 identified in RAN1#96bis</w:t>
      </w:r>
    </w:p>
    <w:p>
      <w:pPr>
        <w:rPr>
          <w:i/>
          <w:iCs/>
        </w:rPr>
      </w:pPr>
      <w:r>
        <w:rPr>
          <w:i/>
          <w:iCs/>
          <w:highlight w:val="green"/>
        </w:rPr>
        <w:t>Agreement:</w:t>
      </w:r>
    </w:p>
    <w:p>
      <w:pPr>
        <w:spacing w:before="137" w:beforeLines="50" w:after="137" w:afterLines="50" w:line="240" w:lineRule="auto"/>
        <w:jc w:val="both"/>
        <w:rPr>
          <w:i/>
          <w:iCs/>
        </w:rPr>
      </w:pPr>
      <w:r>
        <w:rPr>
          <w:i/>
          <w:iCs/>
          <w:lang w:val="en-US"/>
        </w:rPr>
        <w:t xml:space="preserve">Select one of the following alternatives for Cat2 LBT in a 16 us gap. </w:t>
      </w:r>
    </w:p>
    <w:p>
      <w:pPr>
        <w:numPr>
          <w:ilvl w:val="0"/>
          <w:numId w:val="9"/>
        </w:numPr>
        <w:spacing w:before="137" w:beforeLines="50" w:after="137" w:afterLines="50" w:line="240" w:lineRule="auto"/>
        <w:jc w:val="both"/>
        <w:rPr>
          <w:i/>
          <w:iCs/>
          <w:lang w:val="en-US"/>
        </w:rPr>
      </w:pPr>
      <w:r>
        <w:rPr>
          <w:i/>
          <w:iCs/>
          <w:lang w:val="en-US"/>
        </w:rPr>
        <w:t xml:space="preserve">Alt 1: The 16us measurement period is split into two slots with the first slot having a duration 7us and second slot having a duration of 9us. </w:t>
      </w:r>
    </w:p>
    <w:p>
      <w:pPr>
        <w:numPr>
          <w:ilvl w:val="1"/>
          <w:numId w:val="9"/>
        </w:numPr>
        <w:spacing w:before="137" w:beforeLines="50" w:after="137" w:afterLines="50" w:line="240" w:lineRule="auto"/>
        <w:jc w:val="both"/>
        <w:rPr>
          <w:i/>
          <w:iCs/>
          <w:lang w:val="en-US"/>
        </w:rPr>
      </w:pPr>
      <w:r>
        <w:rPr>
          <w:i/>
          <w:iCs/>
          <w:lang w:val="en-US"/>
        </w:rPr>
        <w:t xml:space="preserve">Energy measurement is done in the 9us slot with the measurement including averaging for at least 4 us in any portion of the slot. LBT is said to be successful if the measured energy is lower than the ED threshold. </w:t>
      </w:r>
    </w:p>
    <w:p>
      <w:pPr>
        <w:numPr>
          <w:ilvl w:val="0"/>
          <w:numId w:val="9"/>
        </w:numPr>
        <w:spacing w:before="137" w:beforeLines="50" w:after="137" w:afterLines="50" w:line="240" w:lineRule="auto"/>
        <w:jc w:val="both"/>
        <w:rPr>
          <w:i/>
          <w:iCs/>
          <w:lang w:val="en-US"/>
        </w:rPr>
      </w:pPr>
      <w:r>
        <w:rPr>
          <w:i/>
          <w:iCs/>
          <w:lang w:val="en-US"/>
        </w:rPr>
        <w:t xml:space="preserve">Alt 2: The 16us measurement period is split into two slots with the first slot having a duration 7us and second slot having a duration of 9us. </w:t>
      </w:r>
    </w:p>
    <w:p>
      <w:pPr>
        <w:numPr>
          <w:ilvl w:val="1"/>
          <w:numId w:val="9"/>
        </w:numPr>
        <w:spacing w:before="137" w:beforeLines="50" w:after="137" w:afterLines="50" w:line="240" w:lineRule="auto"/>
        <w:jc w:val="both"/>
        <w:rPr>
          <w:i/>
          <w:iCs/>
          <w:lang w:val="en-US"/>
        </w:rPr>
      </w:pPr>
      <w:r>
        <w:rPr>
          <w:i/>
          <w:iCs/>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pPr>
        <w:numPr>
          <w:ilvl w:val="0"/>
          <w:numId w:val="9"/>
        </w:numPr>
        <w:spacing w:before="137" w:beforeLines="50" w:after="137" w:afterLines="50" w:line="240" w:lineRule="auto"/>
        <w:jc w:val="both"/>
        <w:rPr>
          <w:i/>
          <w:iCs/>
          <w:lang w:val="en-US"/>
        </w:rPr>
      </w:pPr>
      <w:r>
        <w:rPr>
          <w:i/>
          <w:iCs/>
          <w:lang w:val="en-US"/>
        </w:rPr>
        <w:t xml:space="preserve">Alt 3: Energy measurement is done in any portion of the 16 us duration including averaging for at least 4 us. LBT is said to be successful if the measured energy is lower than the ED threshold. </w:t>
      </w:r>
    </w:p>
    <w:p>
      <w:pPr>
        <w:rPr>
          <w:i/>
          <w:iCs/>
        </w:rPr>
      </w:pPr>
      <w:r>
        <w:rPr>
          <w:i/>
          <w:iCs/>
          <w:highlight w:val="green"/>
        </w:rPr>
        <w:t>Agreement:</w:t>
      </w:r>
    </w:p>
    <w:p>
      <w:pPr>
        <w:spacing w:before="137" w:beforeLines="50" w:after="137" w:afterLines="50" w:line="240" w:lineRule="auto"/>
        <w:jc w:val="both"/>
        <w:rPr>
          <w:i/>
          <w:iCs/>
        </w:rPr>
      </w:pPr>
      <w:r>
        <w:rPr>
          <w:i/>
          <w:iCs/>
        </w:rPr>
        <w:t>Multi-carrier channel access schemes that are applicable to multiple carriers with a single LBT sub-band per carrier that is the same as the carrier bandwidth are also applicable to multiple LBT sub-bands within a carrier when such carriers are used either as a single wideband carrier or as part of carrier aggregation of a set of carriers.</w:t>
      </w:r>
    </w:p>
    <w:p>
      <w:pPr>
        <w:pStyle w:val="124"/>
        <w:spacing w:before="137" w:beforeLines="50" w:after="137" w:afterLines="50" w:line="240" w:lineRule="auto"/>
        <w:ind w:left="0"/>
        <w:jc w:val="both"/>
        <w:rPr>
          <w:rFonts w:hint="eastAsia"/>
          <w:lang w:val="en-US" w:eastAsia="zh-CN"/>
        </w:rPr>
      </w:pPr>
      <w:r>
        <w:rPr>
          <w:rFonts w:hint="eastAsia"/>
          <w:lang w:val="en-US" w:eastAsia="zh-CN"/>
        </w:rPr>
        <w:t>Further, in RAN 84 Meeting, the following consensus for guidance on essential functionality for NR-U channel access has been reached [3]:</w:t>
      </w:r>
    </w:p>
    <w:p>
      <w:pPr>
        <w:spacing w:before="137" w:beforeLines="50" w:after="137" w:afterLines="50" w:line="240" w:lineRule="auto"/>
        <w:rPr>
          <w:b/>
          <w:bCs/>
          <w:i/>
          <w:iCs/>
          <w:sz w:val="21"/>
          <w:szCs w:val="22"/>
          <w:lang w:val="en-US"/>
        </w:rPr>
      </w:pPr>
      <w:r>
        <w:rPr>
          <w:b/>
          <w:bCs/>
          <w:i/>
          <w:iCs/>
          <w:sz w:val="21"/>
          <w:szCs w:val="22"/>
          <w:lang w:val="en-US"/>
        </w:rPr>
        <w:t>Essential</w:t>
      </w:r>
    </w:p>
    <w:p>
      <w:pPr>
        <w:numPr>
          <w:ilvl w:val="0"/>
          <w:numId w:val="10"/>
        </w:numPr>
        <w:spacing w:before="137" w:beforeLines="50" w:after="137" w:afterLines="50" w:line="240" w:lineRule="auto"/>
        <w:ind w:left="726" w:hanging="363"/>
        <w:rPr>
          <w:i/>
          <w:iCs/>
          <w:lang w:val="en-US"/>
        </w:rPr>
      </w:pPr>
      <w:r>
        <w:rPr>
          <w:i/>
          <w:iCs/>
          <w:lang w:val="en-US"/>
        </w:rPr>
        <w:t>16us cat 2 LBT detailed design</w:t>
      </w:r>
    </w:p>
    <w:p>
      <w:pPr>
        <w:numPr>
          <w:ilvl w:val="0"/>
          <w:numId w:val="10"/>
        </w:numPr>
        <w:spacing w:before="137" w:beforeLines="50" w:after="137" w:afterLines="50" w:line="240" w:lineRule="auto"/>
        <w:ind w:left="726" w:hanging="363"/>
        <w:rPr>
          <w:i/>
          <w:iCs/>
          <w:lang w:val="en-US"/>
        </w:rPr>
      </w:pPr>
      <w:r>
        <w:rPr>
          <w:i/>
          <w:iCs/>
          <w:lang w:val="en-US"/>
        </w:rPr>
        <w:t>Signaling support for LBT type/priority indication</w:t>
      </w:r>
    </w:p>
    <w:p>
      <w:pPr>
        <w:numPr>
          <w:ilvl w:val="0"/>
          <w:numId w:val="10"/>
        </w:numPr>
        <w:spacing w:before="137" w:beforeLines="50" w:after="137" w:afterLines="50" w:line="240" w:lineRule="auto"/>
        <w:ind w:left="726" w:hanging="363"/>
        <w:rPr>
          <w:i/>
          <w:iCs/>
          <w:lang w:val="en-US"/>
        </w:rPr>
      </w:pPr>
      <w:r>
        <w:rPr>
          <w:i/>
          <w:iCs/>
          <w:lang w:val="en-US"/>
        </w:rPr>
        <w:t>CWS adjustment, including reference slot definition, processing timeline, what if no feedback expected or available, CWS adjustment for wideband operation and CG</w:t>
      </w:r>
    </w:p>
    <w:p>
      <w:pPr>
        <w:numPr>
          <w:ilvl w:val="0"/>
          <w:numId w:val="10"/>
        </w:numPr>
        <w:spacing w:before="137" w:beforeLines="50" w:after="137" w:afterLines="50" w:line="240" w:lineRule="auto"/>
        <w:ind w:left="726" w:hanging="363"/>
        <w:rPr>
          <w:i/>
          <w:iCs/>
          <w:lang w:val="en-US"/>
        </w:rPr>
      </w:pPr>
      <w:r>
        <w:rPr>
          <w:i/>
          <w:iCs/>
          <w:lang w:val="en-US"/>
        </w:rPr>
        <w:t>Channel access mechanism details for FBE</w:t>
      </w:r>
    </w:p>
    <w:p>
      <w:pPr>
        <w:numPr>
          <w:ilvl w:val="0"/>
          <w:numId w:val="10"/>
        </w:numPr>
        <w:spacing w:before="137" w:beforeLines="50" w:after="137" w:afterLines="50" w:line="240" w:lineRule="auto"/>
        <w:ind w:left="726" w:hanging="363"/>
        <w:rPr>
          <w:i/>
          <w:iCs/>
          <w:lang w:val="en-US"/>
        </w:rPr>
      </w:pPr>
      <w:r>
        <w:rPr>
          <w:i/>
          <w:iCs/>
          <w:lang w:val="en-US"/>
        </w:rPr>
        <w:t>UE to gNB COT sharing</w:t>
      </w:r>
    </w:p>
    <w:p>
      <w:pPr>
        <w:spacing w:before="137" w:beforeLines="50" w:after="137" w:afterLines="50" w:line="240" w:lineRule="auto"/>
        <w:rPr>
          <w:i/>
          <w:iCs/>
          <w:lang w:val="en-US"/>
        </w:rPr>
      </w:pPr>
      <w:r>
        <w:rPr>
          <w:b/>
          <w:bCs/>
          <w:i/>
          <w:iCs/>
          <w:lang w:val="en-US"/>
        </w:rPr>
        <w:t>Optimizations</w:t>
      </w:r>
    </w:p>
    <w:p>
      <w:pPr>
        <w:numPr>
          <w:ilvl w:val="0"/>
          <w:numId w:val="10"/>
        </w:numPr>
        <w:spacing w:before="137" w:beforeLines="50" w:after="137" w:afterLines="50" w:line="240" w:lineRule="auto"/>
        <w:ind w:left="726" w:hanging="363"/>
        <w:rPr>
          <w:i/>
          <w:iCs/>
          <w:sz w:val="21"/>
          <w:szCs w:val="22"/>
          <w:lang w:val="en-US"/>
        </w:rPr>
      </w:pPr>
      <w:r>
        <w:rPr>
          <w:i/>
          <w:iCs/>
          <w:sz w:val="21"/>
          <w:szCs w:val="22"/>
          <w:lang w:val="en-US"/>
        </w:rPr>
        <w:t>Max TX duration follow cat 1 LBT</w:t>
      </w:r>
    </w:p>
    <w:p>
      <w:pPr>
        <w:numPr>
          <w:ilvl w:val="0"/>
          <w:numId w:val="10"/>
        </w:numPr>
        <w:spacing w:before="137" w:beforeLines="50" w:after="137" w:afterLines="50" w:line="240" w:lineRule="auto"/>
        <w:ind w:left="726" w:hanging="363"/>
        <w:rPr>
          <w:i/>
          <w:iCs/>
          <w:sz w:val="21"/>
          <w:szCs w:val="22"/>
          <w:lang w:val="en-US"/>
        </w:rPr>
      </w:pPr>
      <w:r>
        <w:rPr>
          <w:i/>
          <w:iCs/>
          <w:sz w:val="21"/>
          <w:szCs w:val="22"/>
          <w:lang w:val="en-US"/>
        </w:rPr>
        <w:t>Max number of Cat 2 LBT attempts in a 5ms DRS transmission window</w:t>
      </w:r>
    </w:p>
    <w:p>
      <w:pPr>
        <w:numPr>
          <w:ilvl w:val="0"/>
          <w:numId w:val="10"/>
        </w:numPr>
        <w:spacing w:before="137" w:beforeLines="50" w:after="137" w:afterLines="50" w:line="240" w:lineRule="auto"/>
        <w:ind w:left="726" w:hanging="363"/>
        <w:rPr>
          <w:i/>
          <w:iCs/>
          <w:sz w:val="21"/>
          <w:szCs w:val="22"/>
          <w:lang w:val="en-US"/>
        </w:rPr>
      </w:pPr>
      <w:r>
        <w:rPr>
          <w:i/>
          <w:iCs/>
          <w:sz w:val="21"/>
          <w:szCs w:val="22"/>
          <w:lang w:val="en-US"/>
        </w:rPr>
        <w:t>Wideband LBT with common measurement</w:t>
      </w:r>
    </w:p>
    <w:p>
      <w:pPr>
        <w:numPr>
          <w:ilvl w:val="0"/>
          <w:numId w:val="10"/>
        </w:numPr>
        <w:spacing w:before="137" w:beforeLines="50" w:after="137" w:afterLines="50" w:line="240" w:lineRule="auto"/>
        <w:ind w:left="726" w:hanging="363"/>
        <w:rPr>
          <w:i/>
          <w:iCs/>
          <w:sz w:val="21"/>
          <w:szCs w:val="22"/>
          <w:lang w:val="en-US"/>
        </w:rPr>
      </w:pPr>
      <w:r>
        <w:rPr>
          <w:i/>
          <w:iCs/>
          <w:sz w:val="21"/>
          <w:szCs w:val="22"/>
          <w:lang w:val="en-US"/>
        </w:rPr>
        <w:t>Directional LBT</w:t>
      </w:r>
    </w:p>
    <w:p>
      <w:pPr>
        <w:numPr>
          <w:ilvl w:val="0"/>
          <w:numId w:val="10"/>
        </w:numPr>
        <w:spacing w:before="137" w:beforeLines="50" w:after="137" w:afterLines="50" w:line="240" w:lineRule="auto"/>
        <w:ind w:left="726" w:hanging="363"/>
        <w:rPr>
          <w:i/>
          <w:iCs/>
          <w:sz w:val="21"/>
          <w:szCs w:val="22"/>
          <w:lang w:val="en-US"/>
        </w:rPr>
      </w:pPr>
      <w:r>
        <w:rPr>
          <w:i/>
          <w:iCs/>
          <w:sz w:val="21"/>
          <w:szCs w:val="22"/>
          <w:lang w:val="en-US"/>
        </w:rPr>
        <w:t>LBT to facilitate spatial reuse</w:t>
      </w:r>
    </w:p>
    <w:p>
      <w:pPr>
        <w:numPr>
          <w:ilvl w:val="0"/>
          <w:numId w:val="10"/>
        </w:numPr>
        <w:spacing w:before="137" w:beforeLines="50" w:after="137" w:afterLines="50" w:line="240" w:lineRule="auto"/>
        <w:ind w:left="726" w:hanging="363"/>
        <w:rPr>
          <w:i/>
          <w:iCs/>
          <w:sz w:val="21"/>
          <w:szCs w:val="22"/>
          <w:lang w:val="en-US"/>
        </w:rPr>
      </w:pPr>
      <w:r>
        <w:rPr>
          <w:i/>
          <w:iCs/>
          <w:sz w:val="21"/>
          <w:szCs w:val="22"/>
          <w:lang w:val="en-US"/>
        </w:rPr>
        <w:t>Receiver assisted LBT</w:t>
      </w:r>
    </w:p>
    <w:p>
      <w:pPr>
        <w:pStyle w:val="124"/>
        <w:spacing w:before="137" w:beforeLines="50" w:after="137" w:afterLines="50" w:line="240" w:lineRule="auto"/>
        <w:ind w:left="0"/>
        <w:jc w:val="both"/>
        <w:rPr>
          <w:rFonts w:hint="eastAsia"/>
          <w:lang w:val="en-US" w:eastAsia="zh-CN"/>
        </w:rPr>
      </w:pPr>
      <w:r>
        <w:rPr>
          <w:rFonts w:hint="eastAsia"/>
          <w:lang w:val="en-US" w:eastAsia="zh-CN"/>
        </w:rPr>
        <w:t xml:space="preserve">In this contribution, we share our views on channel access procedure for NR-U, including Design for Cat-2 LBT with 16 </w:t>
      </w:r>
      <w:r>
        <w:rPr>
          <w:lang w:val="en-US"/>
        </w:rPr>
        <w:t>µs</w:t>
      </w:r>
      <w:r>
        <w:rPr>
          <w:rFonts w:hint="eastAsia"/>
          <w:lang w:val="en-US" w:eastAsia="zh-CN"/>
        </w:rPr>
        <w:t xml:space="preserve">, the indication of LBT type/priority, CWs adjustment, LBT for FBE, UE initiated COT sharing with gNB, Maximun TX duration for Cat-1 LBT, LBT for DRS, LBT for wideband operation, Directional LBT, LBT for multiplexing and </w:t>
      </w:r>
      <w:r>
        <w:rPr>
          <w:lang w:val="en-US" w:eastAsia="zh-CN"/>
        </w:rPr>
        <w:t>f</w:t>
      </w:r>
      <w:r>
        <w:rPr>
          <w:rFonts w:hint="eastAsia"/>
          <w:lang w:val="en-US" w:eastAsia="zh-CN"/>
        </w:rPr>
        <w:t xml:space="preserve">requency (spatial) </w:t>
      </w:r>
      <w:r>
        <w:rPr>
          <w:lang w:val="en-US" w:eastAsia="zh-CN"/>
        </w:rPr>
        <w:t>r</w:t>
      </w:r>
      <w:r>
        <w:rPr>
          <w:rFonts w:hint="eastAsia"/>
          <w:lang w:val="en-US" w:eastAsia="zh-CN"/>
        </w:rPr>
        <w:t xml:space="preserve">euse and </w:t>
      </w:r>
      <w:r>
        <w:rPr>
          <w:lang w:val="en-US" w:eastAsia="zh-CN"/>
        </w:rPr>
        <w:t>r</w:t>
      </w:r>
      <w:r>
        <w:rPr>
          <w:rFonts w:hint="eastAsia"/>
          <w:lang w:val="en-US" w:eastAsia="zh-CN"/>
        </w:rPr>
        <w:t>eceiver assisted LBT.</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w:t>
      </w:r>
      <w:r>
        <w:rPr>
          <w:rFonts w:ascii="Times New Roman" w:hAnsi="Times New Roman" w:eastAsia="宋体"/>
          <w:b/>
          <w:sz w:val="32"/>
          <w:szCs w:val="32"/>
          <w:lang w:val="en-US" w:eastAsia="zh-CN"/>
        </w:rPr>
        <w:t>Channel access procedure for NR-U</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Design for Cat-2 LBT with 16 µs</w:t>
      </w:r>
    </w:p>
    <w:p>
      <w:pPr>
        <w:numPr>
          <w:ilvl w:val="255"/>
          <w:numId w:val="0"/>
        </w:numPr>
        <w:spacing w:before="137" w:beforeLines="50" w:after="137" w:afterLines="50" w:line="240" w:lineRule="auto"/>
        <w:jc w:val="both"/>
        <w:rPr>
          <w:rFonts w:hint="default" w:eastAsia="宋体"/>
          <w:i w:val="0"/>
          <w:iCs w:val="0"/>
          <w:vertAlign w:val="baseline"/>
          <w:lang w:val="en-US" w:eastAsia="zh-CN"/>
        </w:rPr>
      </w:pPr>
      <w:r>
        <w:rPr>
          <w:rFonts w:hint="eastAsia"/>
          <w:i w:val="0"/>
          <w:iCs w:val="0"/>
          <w:lang w:val="en-US" w:eastAsia="zh-CN"/>
        </w:rPr>
        <w:t xml:space="preserve">In LTE-LAA, Cat-2 LBT with 25 </w:t>
      </w:r>
      <w:r>
        <w:rPr>
          <w:i w:val="0"/>
          <w:iCs w:val="0"/>
          <w:lang w:val="en-US"/>
        </w:rPr>
        <w:t>µs</w:t>
      </w:r>
      <w:r>
        <w:rPr>
          <w:rFonts w:hint="eastAsia" w:eastAsia="宋体"/>
          <w:i w:val="0"/>
          <w:iCs w:val="0"/>
          <w:lang w:val="en-US" w:eastAsia="zh-CN"/>
        </w:rPr>
        <w:t xml:space="preserve"> duration was defined. 25 </w:t>
      </w:r>
      <w:r>
        <w:rPr>
          <w:i w:val="0"/>
          <w:iCs w:val="0"/>
          <w:lang w:val="en-US"/>
        </w:rPr>
        <w:t>µs</w:t>
      </w:r>
      <w:r>
        <w:rPr>
          <w:rFonts w:hint="eastAsia" w:eastAsia="宋体"/>
          <w:i w:val="0"/>
          <w:iCs w:val="0"/>
          <w:lang w:val="en-US" w:eastAsia="zh-CN"/>
        </w:rPr>
        <w:t xml:space="preserve"> Cat-2 LBT consists of a duration T</w:t>
      </w:r>
      <w:r>
        <w:rPr>
          <w:rFonts w:hint="eastAsia" w:eastAsia="宋体"/>
          <w:i w:val="0"/>
          <w:iCs w:val="0"/>
          <w:vertAlign w:val="subscript"/>
          <w:lang w:val="en-US" w:eastAsia="zh-CN"/>
        </w:rPr>
        <w:t xml:space="preserve">f </w:t>
      </w:r>
      <w:r>
        <w:rPr>
          <w:rFonts w:hint="eastAsia" w:eastAsia="宋体"/>
          <w:i w:val="0"/>
          <w:iCs w:val="0"/>
          <w:vertAlign w:val="baseline"/>
          <w:lang w:val="en-US" w:eastAsia="zh-CN"/>
        </w:rPr>
        <w:t xml:space="preserve">= 16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 xml:space="preserve">s </w:t>
      </w:r>
      <w:r>
        <w:rPr>
          <w:rFonts w:hint="eastAsia" w:eastAsia="宋体"/>
          <w:i w:val="0"/>
          <w:iCs w:val="0"/>
          <w:lang w:val="en-US" w:eastAsia="zh-CN"/>
        </w:rPr>
        <w:t>immediately followed by one slot duration T</w:t>
      </w:r>
      <w:r>
        <w:rPr>
          <w:rFonts w:hint="eastAsia" w:eastAsia="宋体"/>
          <w:i w:val="0"/>
          <w:iCs w:val="0"/>
          <w:vertAlign w:val="subscript"/>
          <w:lang w:val="en-US" w:eastAsia="zh-CN"/>
        </w:rPr>
        <w:t>sl</w:t>
      </w:r>
      <w:r>
        <w:rPr>
          <w:rFonts w:hint="eastAsia" w:eastAsia="宋体"/>
          <w:i w:val="0"/>
          <w:iCs w:val="0"/>
          <w:lang w:val="en-US" w:eastAsia="zh-CN"/>
        </w:rPr>
        <w:t xml:space="preserve"> = 9 </w:t>
      </w:r>
      <w:r>
        <w:rPr>
          <w:rFonts w:hint="default" w:ascii="Times New Roman" w:hAnsi="Times New Roman" w:eastAsia="宋体" w:cs="Times New Roman"/>
          <w:i w:val="0"/>
          <w:iCs w:val="0"/>
          <w:lang w:val="en-US" w:eastAsia="zh-CN"/>
        </w:rPr>
        <w:t>µ</w:t>
      </w:r>
      <w:r>
        <w:rPr>
          <w:rFonts w:hint="eastAsia" w:eastAsia="宋体"/>
          <w:i w:val="0"/>
          <w:iCs w:val="0"/>
          <w:lang w:val="en-US" w:eastAsia="zh-CN"/>
        </w:rPr>
        <w:t>s and T</w:t>
      </w:r>
      <w:r>
        <w:rPr>
          <w:rFonts w:hint="eastAsia" w:eastAsia="宋体"/>
          <w:i w:val="0"/>
          <w:iCs w:val="0"/>
          <w:vertAlign w:val="subscript"/>
          <w:lang w:val="en-US" w:eastAsia="zh-CN"/>
        </w:rPr>
        <w:t xml:space="preserve">f  </w:t>
      </w:r>
      <w:r>
        <w:rPr>
          <w:rFonts w:hint="eastAsia" w:eastAsia="宋体"/>
          <w:i w:val="0"/>
          <w:iCs w:val="0"/>
          <w:vertAlign w:val="baseline"/>
          <w:lang w:val="en-US" w:eastAsia="zh-CN"/>
        </w:rPr>
        <w:t xml:space="preserve">includes a duration </w:t>
      </w:r>
      <w:r>
        <w:rPr>
          <w:rFonts w:hint="eastAsia" w:eastAsia="宋体"/>
          <w:i w:val="0"/>
          <w:iCs w:val="0"/>
          <w:lang w:val="en-US" w:eastAsia="zh-CN"/>
        </w:rPr>
        <w:t>T</w:t>
      </w:r>
      <w:r>
        <w:rPr>
          <w:rFonts w:hint="eastAsia" w:eastAsia="宋体"/>
          <w:i w:val="0"/>
          <w:iCs w:val="0"/>
          <w:vertAlign w:val="subscript"/>
          <w:lang w:val="en-US" w:eastAsia="zh-CN"/>
        </w:rPr>
        <w:t xml:space="preserve">sl </w:t>
      </w:r>
      <w:r>
        <w:rPr>
          <w:rFonts w:hint="eastAsia" w:eastAsia="宋体"/>
          <w:i w:val="0"/>
          <w:iCs w:val="0"/>
          <w:vertAlign w:val="baseline"/>
          <w:lang w:val="en-US" w:eastAsia="zh-CN"/>
        </w:rPr>
        <w:t>immediately followed by a slot duration</w:t>
      </w:r>
      <w:r>
        <w:rPr>
          <w:rFonts w:hint="eastAsia" w:eastAsia="宋体"/>
          <w:i w:val="0"/>
          <w:iCs w:val="0"/>
          <w:vertAlign w:val="subscript"/>
          <w:lang w:val="en-US" w:eastAsia="zh-CN"/>
        </w:rPr>
        <w:t xml:space="preserve"> </w:t>
      </w:r>
      <w:r>
        <w:rPr>
          <w:rFonts w:hint="eastAsia" w:eastAsia="宋体"/>
          <w:i w:val="0"/>
          <w:iCs w:val="0"/>
          <w:vertAlign w:val="baseline"/>
          <w:lang w:val="en-US" w:eastAsia="zh-CN"/>
        </w:rPr>
        <w:t>T</w:t>
      </w:r>
      <w:r>
        <w:rPr>
          <w:rFonts w:hint="eastAsia" w:eastAsia="宋体"/>
          <w:i w:val="0"/>
          <w:iCs w:val="0"/>
          <w:vertAlign w:val="subscript"/>
          <w:lang w:val="en-US" w:eastAsia="zh-CN"/>
        </w:rPr>
        <w:t>i</w:t>
      </w:r>
      <w:r>
        <w:rPr>
          <w:rFonts w:hint="eastAsia" w:eastAsia="宋体"/>
          <w:i w:val="0"/>
          <w:iCs w:val="0"/>
          <w:vertAlign w:val="baseline"/>
          <w:lang w:val="en-US" w:eastAsia="zh-CN"/>
        </w:rPr>
        <w:t xml:space="preserve"> = 7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 xml:space="preserve">s as shown in Figure 1. Wherein, energy measurement is done in the </w:t>
      </w:r>
      <w:r>
        <w:rPr>
          <w:rFonts w:hint="eastAsia" w:eastAsia="宋体"/>
          <w:i w:val="0"/>
          <w:iCs w:val="0"/>
          <w:lang w:val="en-US" w:eastAsia="zh-CN"/>
        </w:rPr>
        <w:t>T</w:t>
      </w:r>
      <w:r>
        <w:rPr>
          <w:rFonts w:hint="eastAsia" w:eastAsia="宋体"/>
          <w:i w:val="0"/>
          <w:iCs w:val="0"/>
          <w:vertAlign w:val="subscript"/>
          <w:lang w:val="en-US" w:eastAsia="zh-CN"/>
        </w:rPr>
        <w:t>sl</w:t>
      </w:r>
      <w:r>
        <w:rPr>
          <w:rFonts w:hint="eastAsia" w:eastAsia="宋体"/>
          <w:i w:val="0"/>
          <w:iCs w:val="0"/>
          <w:lang w:val="en-US" w:eastAsia="zh-CN"/>
        </w:rPr>
        <w:t xml:space="preserve"> = 9 </w:t>
      </w:r>
      <w:r>
        <w:rPr>
          <w:rFonts w:hint="default" w:ascii="Times New Roman" w:hAnsi="Times New Roman" w:eastAsia="宋体" w:cs="Times New Roman"/>
          <w:i w:val="0"/>
          <w:iCs w:val="0"/>
          <w:lang w:val="en-US" w:eastAsia="zh-CN"/>
        </w:rPr>
        <w:t>µ</w:t>
      </w:r>
      <w:r>
        <w:rPr>
          <w:rFonts w:hint="eastAsia" w:eastAsia="宋体"/>
          <w:i w:val="0"/>
          <w:iCs w:val="0"/>
          <w:lang w:val="en-US" w:eastAsia="zh-CN"/>
        </w:rPr>
        <w:t xml:space="preserve">s with the measurement including averaging for </w:t>
      </w:r>
      <w:r>
        <w:rPr>
          <w:rFonts w:hint="eastAsia" w:eastAsia="宋体"/>
          <w:i w:val="0"/>
          <w:iCs w:val="0"/>
          <w:vertAlign w:val="baseline"/>
          <w:lang w:val="en-US" w:eastAsia="zh-CN"/>
        </w:rPr>
        <w:t xml:space="preserve">at least 4 </w:t>
      </w:r>
      <w:r>
        <w:rPr>
          <w:rFonts w:hint="default" w:ascii="Times New Roman" w:hAnsi="Times New Roman" w:eastAsia="宋体" w:cs="Times New Roman"/>
          <w:i w:val="0"/>
          <w:iCs w:val="0"/>
          <w:lang w:val="en-US" w:eastAsia="zh-CN"/>
        </w:rPr>
        <w:t>µ</w:t>
      </w:r>
      <w:r>
        <w:rPr>
          <w:rFonts w:hint="eastAsia" w:eastAsia="宋体"/>
          <w:i w:val="0"/>
          <w:iCs w:val="0"/>
          <w:lang w:val="en-US" w:eastAsia="zh-CN"/>
        </w:rPr>
        <w:t>s in any portion of the first and second T</w:t>
      </w:r>
      <w:r>
        <w:rPr>
          <w:rFonts w:hint="eastAsia" w:eastAsia="宋体"/>
          <w:i w:val="0"/>
          <w:iCs w:val="0"/>
          <w:vertAlign w:val="subscript"/>
          <w:lang w:val="en-US" w:eastAsia="zh-CN"/>
        </w:rPr>
        <w:t>sl</w:t>
      </w:r>
      <w:r>
        <w:rPr>
          <w:rFonts w:hint="eastAsia" w:eastAsia="宋体"/>
          <w:i w:val="0"/>
          <w:iCs w:val="0"/>
          <w:lang w:val="en-US" w:eastAsia="zh-CN"/>
        </w:rPr>
        <w:t xml:space="preserve"> = 9 </w:t>
      </w:r>
      <w:r>
        <w:rPr>
          <w:rFonts w:hint="default" w:ascii="Times New Roman" w:hAnsi="Times New Roman" w:eastAsia="宋体" w:cs="Times New Roman"/>
          <w:i w:val="0"/>
          <w:iCs w:val="0"/>
          <w:lang w:val="en-US" w:eastAsia="zh-CN"/>
        </w:rPr>
        <w:t>µ</w:t>
      </w:r>
      <w:r>
        <w:rPr>
          <w:rFonts w:hint="eastAsia" w:eastAsia="宋体"/>
          <w:i w:val="0"/>
          <w:iCs w:val="0"/>
          <w:lang w:val="en-US" w:eastAsia="zh-CN"/>
        </w:rPr>
        <w:t>s slot duration. If the measured energy is lower than the ED threshold, then channel is said to be idle.</w:t>
      </w:r>
    </w:p>
    <w:p>
      <w:pPr>
        <w:numPr>
          <w:ilvl w:val="255"/>
          <w:numId w:val="0"/>
        </w:numPr>
        <w:spacing w:before="137" w:beforeLines="50" w:after="137" w:afterLines="50" w:line="240" w:lineRule="auto"/>
        <w:jc w:val="center"/>
      </w:pPr>
      <w:r>
        <w:object>
          <v:shape id="_x0000_i1025" o:spt="75" type="#_x0000_t75" style="height:80pt;width:362.5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numPr>
          <w:ilvl w:val="255"/>
          <w:numId w:val="0"/>
        </w:numPr>
        <w:spacing w:before="137" w:beforeLines="50" w:after="137" w:afterLines="50" w:line="240" w:lineRule="auto"/>
        <w:jc w:val="center"/>
        <w:rPr>
          <w:rFonts w:hint="default"/>
          <w:b/>
          <w:bCs/>
          <w:lang w:val="en-US" w:eastAsia="zh-CN"/>
        </w:rPr>
      </w:pPr>
      <w:r>
        <w:rPr>
          <w:rFonts w:hint="eastAsia"/>
          <w:b/>
          <w:bCs/>
          <w:lang w:val="en-US" w:eastAsia="zh-CN"/>
        </w:rPr>
        <w:t>Figure1. The definition of Cat-2 LBT with 25</w:t>
      </w:r>
      <w:r>
        <w:rPr>
          <w:rFonts w:hint="eastAsia" w:eastAsia="宋体"/>
          <w:b/>
          <w:bCs/>
          <w:i w:val="0"/>
          <w:iCs w:val="0"/>
          <w:vertAlign w:val="baseline"/>
          <w:lang w:val="en-US" w:eastAsia="zh-CN"/>
        </w:rPr>
        <w:t xml:space="preserve"> </w:t>
      </w:r>
      <w:r>
        <w:rPr>
          <w:rFonts w:hint="default" w:ascii="Times New Roman" w:hAnsi="Times New Roman" w:eastAsia="宋体" w:cs="Times New Roman"/>
          <w:b/>
          <w:bCs/>
          <w:i w:val="0"/>
          <w:iCs w:val="0"/>
          <w:vertAlign w:val="baseline"/>
          <w:lang w:val="en-US" w:eastAsia="zh-CN"/>
        </w:rPr>
        <w:t>µ</w:t>
      </w:r>
      <w:r>
        <w:rPr>
          <w:rFonts w:hint="eastAsia" w:eastAsia="宋体"/>
          <w:b/>
          <w:bCs/>
          <w:i w:val="0"/>
          <w:iCs w:val="0"/>
          <w:vertAlign w:val="baseline"/>
          <w:lang w:val="en-US" w:eastAsia="zh-CN"/>
        </w:rPr>
        <w:t>s duration in LTE-LAA</w:t>
      </w:r>
    </w:p>
    <w:p>
      <w:pPr>
        <w:numPr>
          <w:ilvl w:val="255"/>
          <w:numId w:val="0"/>
        </w:numPr>
        <w:spacing w:before="137" w:beforeLines="50" w:after="137" w:afterLines="50" w:line="240" w:lineRule="auto"/>
        <w:jc w:val="both"/>
        <w:rPr>
          <w:rFonts w:hint="eastAsia"/>
          <w:lang w:val="en-US" w:eastAsia="zh-CN"/>
        </w:rPr>
      </w:pPr>
      <w:r>
        <w:rPr>
          <w:rFonts w:hint="eastAsia"/>
          <w:lang w:val="en-US" w:eastAsia="zh-CN"/>
        </w:rPr>
        <w:t xml:space="preserve">In RAN1 #97meeting, it was agreed that Cat-2 LBT need to be performed if the gap between DL and UL is 16 µs and the following three alternatives were identified as candidate ways to support Cat-2 LBT with 16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s</w:t>
      </w:r>
      <w:r>
        <w:rPr>
          <w:rFonts w:hint="eastAsia"/>
          <w:lang w:val="en-US" w:eastAsia="zh-CN"/>
        </w:rPr>
        <w:t>:</w:t>
      </w:r>
    </w:p>
    <w:p>
      <w:pPr>
        <w:numPr>
          <w:ilvl w:val="0"/>
          <w:numId w:val="9"/>
        </w:numPr>
        <w:spacing w:before="137" w:beforeLines="50" w:after="137" w:afterLines="50" w:line="240" w:lineRule="auto"/>
        <w:jc w:val="both"/>
        <w:rPr>
          <w:i/>
          <w:iCs/>
          <w:lang w:val="en-US"/>
        </w:rPr>
      </w:pPr>
      <w:r>
        <w:rPr>
          <w:i/>
          <w:iCs/>
          <w:lang w:val="en-US"/>
        </w:rPr>
        <w:t xml:space="preserve">Alt 1: The 16us measurement period is split into two slots with the first slot having a duration 7us and second slot having a duration of 9us. </w:t>
      </w:r>
    </w:p>
    <w:p>
      <w:pPr>
        <w:numPr>
          <w:ilvl w:val="1"/>
          <w:numId w:val="9"/>
        </w:numPr>
        <w:spacing w:before="137" w:beforeLines="50" w:after="137" w:afterLines="50" w:line="240" w:lineRule="auto"/>
        <w:jc w:val="both"/>
        <w:rPr>
          <w:i/>
          <w:iCs/>
          <w:lang w:val="en-US"/>
        </w:rPr>
      </w:pPr>
      <w:r>
        <w:rPr>
          <w:i/>
          <w:iCs/>
          <w:lang w:val="en-US"/>
        </w:rPr>
        <w:t xml:space="preserve">Energy measurement is done in the 9us slot with the measurement including averaging for at least 4 us in any portion of the slot. LBT is said to be successful if the measured energy is lower than the ED threshold. </w:t>
      </w:r>
    </w:p>
    <w:p>
      <w:pPr>
        <w:numPr>
          <w:ilvl w:val="0"/>
          <w:numId w:val="9"/>
        </w:numPr>
        <w:spacing w:before="137" w:beforeLines="50" w:after="137" w:afterLines="50" w:line="240" w:lineRule="auto"/>
        <w:jc w:val="both"/>
        <w:rPr>
          <w:i/>
          <w:iCs/>
          <w:lang w:val="en-US"/>
        </w:rPr>
      </w:pPr>
      <w:r>
        <w:rPr>
          <w:i/>
          <w:iCs/>
          <w:lang w:val="en-US"/>
        </w:rPr>
        <w:t xml:space="preserve">Alt 2: The 16us measurement period is split into two slots with the first slot having a duration 7us and second slot having a duration of 9us. </w:t>
      </w:r>
    </w:p>
    <w:p>
      <w:pPr>
        <w:numPr>
          <w:ilvl w:val="1"/>
          <w:numId w:val="9"/>
        </w:numPr>
        <w:spacing w:before="137" w:beforeLines="50" w:after="137" w:afterLines="50" w:line="240" w:lineRule="auto"/>
        <w:jc w:val="both"/>
        <w:rPr>
          <w:i/>
          <w:iCs/>
          <w:lang w:val="en-US"/>
        </w:rPr>
      </w:pPr>
      <w:r>
        <w:rPr>
          <w:i/>
          <w:iCs/>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pPr>
        <w:numPr>
          <w:ilvl w:val="0"/>
          <w:numId w:val="9"/>
        </w:numPr>
        <w:spacing w:before="137" w:beforeLines="50" w:after="137" w:afterLines="50" w:line="240" w:lineRule="auto"/>
        <w:jc w:val="both"/>
        <w:rPr>
          <w:i/>
          <w:iCs/>
          <w:lang w:val="en-US"/>
        </w:rPr>
      </w:pPr>
      <w:r>
        <w:rPr>
          <w:i/>
          <w:iCs/>
          <w:lang w:val="en-US"/>
        </w:rPr>
        <w:t xml:space="preserve">Alt 3: Energy measurement is done in any portion of the 16 us duration including averaging for at least 4 us. LBT is said to be successful if the measured energy is lower than the ED threshold. </w:t>
      </w:r>
    </w:p>
    <w:p>
      <w:pPr>
        <w:numPr>
          <w:ilvl w:val="255"/>
          <w:numId w:val="0"/>
        </w:numPr>
        <w:spacing w:before="137" w:beforeLines="50" w:after="137" w:afterLines="50" w:line="240" w:lineRule="auto"/>
        <w:jc w:val="both"/>
        <w:rPr>
          <w:rFonts w:hint="default" w:eastAsia="宋体"/>
          <w:i w:val="0"/>
          <w:iCs w:val="0"/>
          <w:vertAlign w:val="baseline"/>
          <w:lang w:val="en-US" w:eastAsia="zh-CN"/>
        </w:rPr>
      </w:pPr>
      <w:r>
        <w:rPr>
          <w:rFonts w:hint="eastAsia"/>
          <w:i w:val="0"/>
          <w:iCs w:val="0"/>
          <w:lang w:val="en-US" w:eastAsia="zh-CN"/>
        </w:rPr>
        <w:t xml:space="preserve">For Alt 1 as shown in Figure2, it can follow Cat-2 LBT with 25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 xml:space="preserve">s design method in LTE-LAA as much as possible. Wherein, 4us measurement duration is done in any portion of the </w:t>
      </w:r>
      <w:r>
        <w:rPr>
          <w:rFonts w:hint="eastAsia" w:eastAsia="宋体"/>
          <w:i w:val="0"/>
          <w:iCs w:val="0"/>
          <w:lang w:val="en-US" w:eastAsia="zh-CN"/>
        </w:rPr>
        <w:t>T</w:t>
      </w:r>
      <w:r>
        <w:rPr>
          <w:rFonts w:hint="eastAsia" w:eastAsia="宋体"/>
          <w:i w:val="0"/>
          <w:iCs w:val="0"/>
          <w:vertAlign w:val="subscript"/>
          <w:lang w:val="en-US" w:eastAsia="zh-CN"/>
        </w:rPr>
        <w:t>sl</w:t>
      </w:r>
      <w:r>
        <w:rPr>
          <w:rFonts w:hint="eastAsia" w:eastAsia="宋体"/>
          <w:i w:val="0"/>
          <w:iCs w:val="0"/>
          <w:lang w:val="en-US" w:eastAsia="zh-CN"/>
        </w:rPr>
        <w:t xml:space="preserve"> = 9</w:t>
      </w:r>
      <w:r>
        <w:rPr>
          <w:rFonts w:hint="eastAsia" w:eastAsia="宋体"/>
          <w:i w:val="0"/>
          <w:iCs w:val="0"/>
          <w:vertAlign w:val="baseline"/>
          <w:lang w:val="en-US" w:eastAsia="zh-CN"/>
        </w:rPr>
        <w:t xml:space="preserve"> slot, which will help to ensure the fairness of coexistence and more accurately know the availability of channel before transmission and less specification impacts. For Alt 2 as shown in Figure3, in addition to measure energy in the </w:t>
      </w:r>
      <w:r>
        <w:rPr>
          <w:rFonts w:hint="eastAsia" w:eastAsia="宋体"/>
          <w:i w:val="0"/>
          <w:iCs w:val="0"/>
          <w:lang w:val="en-US" w:eastAsia="zh-CN"/>
        </w:rPr>
        <w:t>T</w:t>
      </w:r>
      <w:r>
        <w:rPr>
          <w:rFonts w:hint="eastAsia" w:eastAsia="宋体"/>
          <w:i w:val="0"/>
          <w:iCs w:val="0"/>
          <w:vertAlign w:val="subscript"/>
          <w:lang w:val="en-US" w:eastAsia="zh-CN"/>
        </w:rPr>
        <w:t>sl</w:t>
      </w:r>
      <w:r>
        <w:rPr>
          <w:rFonts w:hint="eastAsia" w:eastAsia="宋体"/>
          <w:i w:val="0"/>
          <w:iCs w:val="0"/>
          <w:lang w:val="en-US" w:eastAsia="zh-CN"/>
        </w:rPr>
        <w:t xml:space="preserve"> = 9 </w:t>
      </w:r>
      <w:r>
        <w:rPr>
          <w:rFonts w:hint="default" w:ascii="Times New Roman" w:hAnsi="Times New Roman" w:eastAsia="宋体" w:cs="Times New Roman"/>
          <w:i w:val="0"/>
          <w:iCs w:val="0"/>
          <w:lang w:val="en-US" w:eastAsia="zh-CN"/>
        </w:rPr>
        <w:t>µ</w:t>
      </w:r>
      <w:r>
        <w:rPr>
          <w:rFonts w:hint="eastAsia" w:eastAsia="宋体"/>
          <w:i w:val="0"/>
          <w:iCs w:val="0"/>
          <w:lang w:val="en-US" w:eastAsia="zh-CN"/>
        </w:rPr>
        <w:t xml:space="preserve">s slot duration, the energy measurement also need to be performed in the </w:t>
      </w:r>
      <w:r>
        <w:rPr>
          <w:rFonts w:hint="eastAsia" w:eastAsia="宋体"/>
          <w:i w:val="0"/>
          <w:iCs w:val="0"/>
          <w:vertAlign w:val="baseline"/>
          <w:lang w:val="en-US" w:eastAsia="zh-CN"/>
        </w:rPr>
        <w:t>T</w:t>
      </w:r>
      <w:r>
        <w:rPr>
          <w:rFonts w:hint="eastAsia" w:eastAsia="宋体"/>
          <w:i w:val="0"/>
          <w:iCs w:val="0"/>
          <w:vertAlign w:val="subscript"/>
          <w:lang w:val="en-US" w:eastAsia="zh-CN"/>
        </w:rPr>
        <w:t>i</w:t>
      </w:r>
      <w:r>
        <w:rPr>
          <w:rFonts w:hint="eastAsia" w:eastAsia="宋体"/>
          <w:i w:val="0"/>
          <w:iCs w:val="0"/>
          <w:vertAlign w:val="baseline"/>
          <w:lang w:val="en-US" w:eastAsia="zh-CN"/>
        </w:rPr>
        <w:t xml:space="preserve"> = 7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s duration, which is beneficial to accurately assess current channel status. However, due to introduction of 4us measurement duration within T</w:t>
      </w:r>
      <w:r>
        <w:rPr>
          <w:rFonts w:hint="eastAsia" w:eastAsia="宋体"/>
          <w:i w:val="0"/>
          <w:iCs w:val="0"/>
          <w:vertAlign w:val="subscript"/>
          <w:lang w:val="en-US" w:eastAsia="zh-CN"/>
        </w:rPr>
        <w:t>i</w:t>
      </w:r>
      <w:r>
        <w:rPr>
          <w:rFonts w:hint="eastAsia" w:eastAsia="宋体"/>
          <w:i w:val="0"/>
          <w:iCs w:val="0"/>
          <w:vertAlign w:val="baseline"/>
          <w:lang w:val="en-US" w:eastAsia="zh-CN"/>
        </w:rPr>
        <w:t xml:space="preserve"> = 7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 xml:space="preserve">s, it will be able to bring some implementation problems for UE side and increase standardization work to some extent, e.g., modify existing energy measurement ways for </w:t>
      </w:r>
      <w:r>
        <w:rPr>
          <w:rFonts w:hint="eastAsia" w:eastAsia="宋体"/>
          <w:i w:val="0"/>
          <w:iCs w:val="0"/>
          <w:lang w:val="en-US" w:eastAsia="zh-CN"/>
        </w:rPr>
        <w:t>T</w:t>
      </w:r>
      <w:r>
        <w:rPr>
          <w:rFonts w:hint="eastAsia" w:eastAsia="宋体"/>
          <w:i w:val="0"/>
          <w:iCs w:val="0"/>
          <w:vertAlign w:val="subscript"/>
          <w:lang w:val="en-US" w:eastAsia="zh-CN"/>
        </w:rPr>
        <w:t xml:space="preserve">f </w:t>
      </w:r>
      <w:r>
        <w:rPr>
          <w:rFonts w:hint="eastAsia" w:eastAsia="宋体"/>
          <w:i w:val="0"/>
          <w:iCs w:val="0"/>
          <w:vertAlign w:val="baseline"/>
          <w:lang w:val="en-US" w:eastAsia="zh-CN"/>
        </w:rPr>
        <w:t xml:space="preserve">= 16 </w:t>
      </w:r>
      <w:r>
        <w:rPr>
          <w:rFonts w:hint="default" w:ascii="Times New Roman" w:hAnsi="Times New Roman" w:eastAsia="宋体" w:cs="Times New Roman"/>
          <w:i w:val="0"/>
          <w:iCs w:val="0"/>
          <w:vertAlign w:val="baseline"/>
          <w:lang w:val="en-US" w:eastAsia="zh-CN"/>
        </w:rPr>
        <w:t>µ</w:t>
      </w:r>
      <w:r>
        <w:rPr>
          <w:rFonts w:hint="eastAsia" w:eastAsia="宋体"/>
          <w:i w:val="0"/>
          <w:iCs w:val="0"/>
          <w:vertAlign w:val="baseline"/>
          <w:lang w:val="en-US" w:eastAsia="zh-CN"/>
        </w:rPr>
        <w:t xml:space="preserve">s duration. For Alt 3, compared with the first two alternatives, it will 16 </w:t>
      </w:r>
      <w:r>
        <w:rPr>
          <w:rFonts w:hint="default" w:ascii="Times New Roman" w:hAnsi="Times New Roman" w:eastAsia="宋体" w:cs="Times New Roman"/>
          <w:i w:val="0"/>
          <w:iCs w:val="0"/>
          <w:vertAlign w:val="baseline"/>
          <w:lang w:val="en-US" w:eastAsia="zh-CN"/>
        </w:rPr>
        <w:t>µ</w:t>
      </w:r>
      <w:r>
        <w:rPr>
          <w:rFonts w:hint="eastAsia" w:eastAsia="宋体" w:cs="Times New Roman"/>
          <w:i w:val="0"/>
          <w:iCs w:val="0"/>
          <w:vertAlign w:val="baseline"/>
          <w:lang w:val="en-US" w:eastAsia="zh-CN"/>
        </w:rPr>
        <w:t xml:space="preserve">s duration take as a whole, only the measured energy in any portion of 16 </w:t>
      </w:r>
      <w:r>
        <w:rPr>
          <w:rFonts w:hint="default" w:ascii="Times New Roman" w:hAnsi="Times New Roman" w:eastAsia="宋体" w:cs="Times New Roman"/>
          <w:i w:val="0"/>
          <w:iCs w:val="0"/>
          <w:vertAlign w:val="baseline"/>
          <w:lang w:val="en-US" w:eastAsia="zh-CN"/>
        </w:rPr>
        <w:t>µ</w:t>
      </w:r>
      <w:r>
        <w:rPr>
          <w:rFonts w:hint="eastAsia" w:eastAsia="宋体" w:cs="Times New Roman"/>
          <w:i w:val="0"/>
          <w:iCs w:val="0"/>
          <w:vertAlign w:val="baseline"/>
          <w:lang w:val="en-US" w:eastAsia="zh-CN"/>
        </w:rPr>
        <w:t xml:space="preserve">s duration is lower than the ED threshold, the channel is determined to be idle. It is completely a new definition of energy measurement, we are not clear its benefits to specification impacts and fair coexistence. Based the above analysis, from the respective of minimizing specification impacts and the fairness of coexistence, it is recommended that Alt 1 should be supported for Cat-2 LBT with 16 </w:t>
      </w:r>
      <w:r>
        <w:rPr>
          <w:rFonts w:hint="default" w:ascii="Times New Roman" w:hAnsi="Times New Roman" w:eastAsia="宋体" w:cs="Times New Roman"/>
          <w:i w:val="0"/>
          <w:iCs w:val="0"/>
          <w:vertAlign w:val="baseline"/>
          <w:lang w:val="en-US" w:eastAsia="zh-CN"/>
        </w:rPr>
        <w:t>µ</w:t>
      </w:r>
      <w:r>
        <w:rPr>
          <w:rFonts w:hint="eastAsia" w:eastAsia="宋体" w:cs="Times New Roman"/>
          <w:i w:val="0"/>
          <w:iCs w:val="0"/>
          <w:vertAlign w:val="baseline"/>
          <w:lang w:val="en-US" w:eastAsia="zh-CN"/>
        </w:rPr>
        <w:t>s duration.</w:t>
      </w:r>
    </w:p>
    <w:p>
      <w:pPr>
        <w:numPr>
          <w:ilvl w:val="255"/>
          <w:numId w:val="0"/>
        </w:numPr>
        <w:spacing w:before="120" w:after="120" w:line="240" w:lineRule="auto"/>
        <w:jc w:val="center"/>
      </w:pPr>
      <w:r>
        <w:object>
          <v:shape id="_x0000_i1026" o:spt="75" type="#_x0000_t75" style="height:64pt;width:232.5pt;" o:ole="t" filled="f" o:preferrelative="t" stroked="f" coordsize="21600,21600">
            <v:path/>
            <v:fill on="f" focussize="0,0"/>
            <v:stroke on="f" joinstyle="miter"/>
            <v:imagedata r:id="rId9" o:title=""/>
            <o:lock v:ext="edit" aspectratio="t"/>
            <w10:wrap type="none"/>
            <w10:anchorlock/>
          </v:shape>
          <o:OLEObject Type="Embed" ProgID="Visio.Drawing.11" ShapeID="_x0000_i1026" DrawAspect="Content" ObjectID="_1468075726" r:id="rId8">
            <o:LockedField>false</o:LockedField>
          </o:OLEObject>
        </w:object>
      </w:r>
    </w:p>
    <w:p>
      <w:pPr>
        <w:numPr>
          <w:ilvl w:val="255"/>
          <w:numId w:val="0"/>
        </w:numPr>
        <w:spacing w:before="120" w:after="120" w:line="240" w:lineRule="auto"/>
        <w:jc w:val="center"/>
        <w:rPr>
          <w:rFonts w:hint="default" w:eastAsia="宋体"/>
          <w:b/>
          <w:bCs/>
          <w:lang w:val="en-US" w:eastAsia="zh-CN"/>
        </w:rPr>
      </w:pPr>
      <w:r>
        <w:rPr>
          <w:rFonts w:hint="eastAsia" w:eastAsia="宋体"/>
          <w:b/>
          <w:bCs/>
          <w:lang w:val="en-US" w:eastAsia="zh-CN"/>
        </w:rPr>
        <w:t>Figure2. The definition of Cat</w:t>
      </w:r>
      <w:r>
        <w:rPr>
          <w:rFonts w:eastAsia="宋体"/>
          <w:b/>
          <w:bCs/>
          <w:lang w:val="en-US" w:eastAsia="zh-CN"/>
        </w:rPr>
        <w:t>-</w:t>
      </w:r>
      <w:r>
        <w:rPr>
          <w:rFonts w:hint="eastAsia" w:eastAsia="宋体"/>
          <w:b/>
          <w:bCs/>
          <w:lang w:val="en-US" w:eastAsia="zh-CN"/>
        </w:rPr>
        <w:t>2 LBT with 16</w:t>
      </w:r>
      <w:r>
        <w:rPr>
          <w:rFonts w:eastAsia="宋体"/>
          <w:b/>
          <w:bCs/>
          <w:i w:val="0"/>
          <w:iCs w:val="0"/>
          <w:lang w:val="en-US" w:eastAsia="zh-CN"/>
        </w:rPr>
        <w:t xml:space="preserve"> </w:t>
      </w:r>
      <w:r>
        <w:rPr>
          <w:rFonts w:hint="default" w:ascii="Times New Roman" w:hAnsi="Times New Roman" w:eastAsia="宋体" w:cs="Times New Roman"/>
          <w:b/>
          <w:bCs/>
          <w:i w:val="0"/>
          <w:iCs w:val="0"/>
          <w:vertAlign w:val="baseline"/>
          <w:lang w:val="en-US" w:eastAsia="zh-CN"/>
        </w:rPr>
        <w:t>µ</w:t>
      </w:r>
      <w:r>
        <w:rPr>
          <w:rFonts w:hint="eastAsia" w:eastAsia="宋体" w:cs="Times New Roman"/>
          <w:b/>
          <w:bCs/>
          <w:i w:val="0"/>
          <w:iCs w:val="0"/>
          <w:vertAlign w:val="baseline"/>
          <w:lang w:val="en-US" w:eastAsia="zh-CN"/>
        </w:rPr>
        <w:t>s</w:t>
      </w:r>
      <w:r>
        <w:rPr>
          <w:rFonts w:hint="eastAsia" w:eastAsia="宋体" w:cs="Times New Roman"/>
          <w:b/>
          <w:bCs/>
          <w:i/>
          <w:iCs/>
          <w:vertAlign w:val="baseline"/>
          <w:lang w:val="en-US" w:eastAsia="zh-CN"/>
        </w:rPr>
        <w:t xml:space="preserve"> </w:t>
      </w:r>
      <w:r>
        <w:rPr>
          <w:rFonts w:hint="eastAsia" w:eastAsia="宋体"/>
          <w:b/>
          <w:bCs/>
          <w:lang w:val="en-US" w:eastAsia="zh-CN"/>
        </w:rPr>
        <w:t>duration for Alt 1</w:t>
      </w:r>
    </w:p>
    <w:p>
      <w:pPr>
        <w:jc w:val="center"/>
      </w:pPr>
      <w:r>
        <w:object>
          <v:shape id="_x0000_i1027" o:spt="75" type="#_x0000_t75" style="height:64pt;width:232.5pt;" o:ole="t" filled="f" o:preferrelative="t" stroked="f" coordsize="21600,21600">
            <v:path/>
            <v:fill on="f" focussize="0,0"/>
            <v:stroke on="f" joinstyle="miter"/>
            <v:imagedata r:id="rId11" o:title=""/>
            <o:lock v:ext="edit" aspectratio="t"/>
            <w10:wrap type="none"/>
            <w10:anchorlock/>
          </v:shape>
          <o:OLEObject Type="Embed" ProgID="Visio.Drawing.11" ShapeID="_x0000_i1027" DrawAspect="Content" ObjectID="_1468075727" r:id="rId10">
            <o:LockedField>false</o:LockedField>
          </o:OLEObject>
        </w:object>
      </w:r>
    </w:p>
    <w:p>
      <w:pPr>
        <w:numPr>
          <w:ilvl w:val="255"/>
          <w:numId w:val="0"/>
        </w:numPr>
        <w:spacing w:before="120" w:after="120" w:line="240" w:lineRule="auto"/>
        <w:jc w:val="center"/>
        <w:rPr>
          <w:rFonts w:hint="default" w:eastAsia="宋体"/>
          <w:b/>
          <w:bCs/>
          <w:lang w:val="en-US" w:eastAsia="zh-CN"/>
        </w:rPr>
      </w:pPr>
      <w:r>
        <w:rPr>
          <w:rFonts w:hint="eastAsia" w:eastAsia="宋体"/>
          <w:b/>
          <w:bCs/>
          <w:lang w:val="en-US" w:eastAsia="zh-CN"/>
        </w:rPr>
        <w:t>Figure3. The definition of Cat</w:t>
      </w:r>
      <w:r>
        <w:rPr>
          <w:rFonts w:eastAsia="宋体"/>
          <w:b/>
          <w:bCs/>
          <w:lang w:val="en-US" w:eastAsia="zh-CN"/>
        </w:rPr>
        <w:t>-</w:t>
      </w:r>
      <w:r>
        <w:rPr>
          <w:rFonts w:hint="eastAsia" w:eastAsia="宋体"/>
          <w:b/>
          <w:bCs/>
          <w:lang w:val="en-US" w:eastAsia="zh-CN"/>
        </w:rPr>
        <w:t>2 LBT with 16</w:t>
      </w:r>
      <w:r>
        <w:rPr>
          <w:rFonts w:eastAsia="宋体"/>
          <w:b/>
          <w:bCs/>
          <w:lang w:val="en-US" w:eastAsia="zh-CN"/>
        </w:rPr>
        <w:t xml:space="preserve"> </w:t>
      </w:r>
      <w:r>
        <w:rPr>
          <w:rFonts w:hint="default" w:ascii="Times New Roman" w:hAnsi="Times New Roman" w:eastAsia="宋体" w:cs="Times New Roman"/>
          <w:b/>
          <w:bCs/>
          <w:i/>
          <w:iCs/>
          <w:vertAlign w:val="baseline"/>
          <w:lang w:val="en-US" w:eastAsia="zh-CN"/>
        </w:rPr>
        <w:t>µ</w:t>
      </w:r>
      <w:r>
        <w:rPr>
          <w:rFonts w:hint="eastAsia" w:eastAsia="宋体" w:cs="Times New Roman"/>
          <w:b/>
          <w:bCs/>
          <w:i/>
          <w:iCs/>
          <w:vertAlign w:val="baseline"/>
          <w:lang w:val="en-US" w:eastAsia="zh-CN"/>
        </w:rPr>
        <w:t xml:space="preserve">s </w:t>
      </w:r>
      <w:r>
        <w:rPr>
          <w:rFonts w:hint="eastAsia" w:eastAsia="宋体"/>
          <w:b/>
          <w:bCs/>
          <w:lang w:val="en-US" w:eastAsia="zh-CN"/>
        </w:rPr>
        <w:t>duration for Alt 2</w:t>
      </w:r>
    </w:p>
    <w:p>
      <w:pPr>
        <w:jc w:val="center"/>
      </w:pPr>
      <w:r>
        <w:object>
          <v:shape id="_x0000_i1028" o:spt="75" type="#_x0000_t75" style="height:58.5pt;width:232.5pt;" o:ole="t" filled="f" o:preferrelative="t" stroked="f" coordsize="21600,21600">
            <v:path/>
            <v:fill on="f" focussize="0,0"/>
            <v:stroke on="f" joinstyle="miter"/>
            <v:imagedata r:id="rId13" o:title=""/>
            <o:lock v:ext="edit" aspectratio="t"/>
            <w10:wrap type="none"/>
            <w10:anchorlock/>
          </v:shape>
          <o:OLEObject Type="Embed" ProgID="Visio.Drawing.11" ShapeID="_x0000_i1028" DrawAspect="Content" ObjectID="_1468075728" r:id="rId12">
            <o:LockedField>false</o:LockedField>
          </o:OLEObject>
        </w:object>
      </w:r>
    </w:p>
    <w:p>
      <w:pPr>
        <w:numPr>
          <w:ilvl w:val="255"/>
          <w:numId w:val="0"/>
        </w:numPr>
        <w:spacing w:before="120" w:after="120" w:line="240" w:lineRule="auto"/>
        <w:jc w:val="center"/>
        <w:rPr>
          <w:rFonts w:hint="default" w:eastAsia="宋体"/>
          <w:b/>
          <w:bCs/>
          <w:lang w:val="en-US" w:eastAsia="zh-CN"/>
        </w:rPr>
      </w:pPr>
      <w:r>
        <w:rPr>
          <w:rFonts w:hint="eastAsia" w:eastAsia="宋体"/>
          <w:b/>
          <w:bCs/>
          <w:lang w:val="en-US" w:eastAsia="zh-CN"/>
        </w:rPr>
        <w:t>Figure4. The definition of Cat</w:t>
      </w:r>
      <w:r>
        <w:rPr>
          <w:rFonts w:eastAsia="宋体"/>
          <w:b/>
          <w:bCs/>
          <w:lang w:val="en-US" w:eastAsia="zh-CN"/>
        </w:rPr>
        <w:t>-</w:t>
      </w:r>
      <w:r>
        <w:rPr>
          <w:rFonts w:hint="eastAsia" w:eastAsia="宋体"/>
          <w:b/>
          <w:bCs/>
          <w:lang w:val="en-US" w:eastAsia="zh-CN"/>
        </w:rPr>
        <w:t>2 LBT with 16</w:t>
      </w:r>
      <w:r>
        <w:rPr>
          <w:rFonts w:eastAsia="宋体"/>
          <w:b/>
          <w:bCs/>
          <w:lang w:val="en-US" w:eastAsia="zh-CN"/>
        </w:rPr>
        <w:t xml:space="preserve"> </w:t>
      </w:r>
      <w:r>
        <w:rPr>
          <w:rFonts w:hint="default" w:ascii="Times New Roman" w:hAnsi="Times New Roman" w:eastAsia="宋体" w:cs="Times New Roman"/>
          <w:b/>
          <w:bCs/>
          <w:i/>
          <w:iCs/>
          <w:vertAlign w:val="baseline"/>
          <w:lang w:val="en-US" w:eastAsia="zh-CN"/>
        </w:rPr>
        <w:t>µ</w:t>
      </w:r>
      <w:r>
        <w:rPr>
          <w:rFonts w:hint="eastAsia" w:eastAsia="宋体" w:cs="Times New Roman"/>
          <w:b/>
          <w:bCs/>
          <w:i/>
          <w:iCs/>
          <w:vertAlign w:val="baseline"/>
          <w:lang w:val="en-US" w:eastAsia="zh-CN"/>
        </w:rPr>
        <w:t>s</w:t>
      </w:r>
      <w:r>
        <w:rPr>
          <w:rFonts w:hint="eastAsia" w:eastAsia="宋体"/>
          <w:b/>
          <w:bCs/>
          <w:lang w:val="en-US" w:eastAsia="zh-CN"/>
        </w:rPr>
        <w:t xml:space="preserve"> duration for Alt 3</w:t>
      </w:r>
    </w:p>
    <w:p>
      <w:pPr>
        <w:spacing w:before="137" w:beforeLines="50" w:after="137" w:afterLines="50" w:line="240" w:lineRule="auto"/>
        <w:jc w:val="both"/>
        <w:rPr>
          <w:rFonts w:hint="default"/>
          <w:b/>
          <w:bCs/>
          <w:lang w:val="en-US" w:eastAsia="zh-CN"/>
        </w:rPr>
      </w:pPr>
      <w:r>
        <w:rPr>
          <w:rFonts w:hint="eastAsia"/>
          <w:b/>
          <w:bCs/>
          <w:lang w:val="en-US" w:eastAsia="zh-CN"/>
        </w:rPr>
        <w:t xml:space="preserve">Proposal 1: </w:t>
      </w:r>
      <w:r>
        <w:rPr>
          <w:rFonts w:hint="eastAsia"/>
          <w:b w:val="0"/>
          <w:bCs w:val="0"/>
          <w:i/>
          <w:iCs/>
          <w:lang w:val="en-US" w:eastAsia="zh-CN"/>
        </w:rPr>
        <w:t xml:space="preserve">From the respective of minimizing the impacts of specification and the fairness of coexistence, Alt 1 that Cat-2 LBT with 16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 xml:space="preserve">s consists of a duration Tsl = 9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 xml:space="preserve">s immediately followed by a slot duration Ti = 7 µs and Energy measurement is done in the Tsl = 9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 xml:space="preserve">s slot with the measurement including averaging for at least 4 us in any portion of the Tsl = 9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s slot should be supported.</w:t>
      </w:r>
    </w:p>
    <w:p>
      <w:pPr>
        <w:pStyle w:val="3"/>
        <w:spacing w:before="120" w:after="120" w:line="240" w:lineRule="auto"/>
        <w:jc w:val="both"/>
        <w:rPr>
          <w:rFonts w:hint="eastAsia"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The Indication of LBT Type/Priority</w:t>
      </w:r>
    </w:p>
    <w:p>
      <w:pPr>
        <w:numPr>
          <w:ilvl w:val="255"/>
          <w:numId w:val="0"/>
        </w:numPr>
        <w:spacing w:before="137" w:beforeLines="50" w:after="137" w:afterLines="50" w:line="240" w:lineRule="auto"/>
        <w:jc w:val="both"/>
        <w:rPr>
          <w:rFonts w:hint="default"/>
          <w:lang w:val="en-US" w:eastAsia="zh-CN"/>
        </w:rPr>
      </w:pPr>
      <w:r>
        <w:rPr>
          <w:rFonts w:hint="eastAsia"/>
          <w:lang w:val="en-US" w:eastAsia="zh-CN"/>
        </w:rPr>
        <w:t>In the last meeting, Cat-2 LBT had been supported if the gap from DL to UL switching is 16 µs. So far, there are already four different types of LBT schemes such as Cat-1 LBT(No LBT), Cat-2 LBT with 16 µs, Cat-2 LBT with 25 µs and Cat-4 LBT to be supported in NR-U. In these types, which type of LBT to use depends on the length of gap between DL and UL. For the length of gap, Only gNB knows while UE does not. Therefore, we think that LBT type used by UE should be indicated by gNB.</w:t>
      </w:r>
    </w:p>
    <w:p>
      <w:pPr>
        <w:spacing w:before="137" w:beforeLines="50" w:after="137" w:afterLines="50" w:line="240" w:lineRule="auto"/>
        <w:jc w:val="both"/>
        <w:rPr>
          <w:rFonts w:hint="default"/>
          <w:b w:val="0"/>
          <w:bCs w:val="0"/>
          <w:i/>
          <w:iCs/>
          <w:lang w:val="en-US" w:eastAsia="zh-CN"/>
        </w:rPr>
      </w:pPr>
      <w:r>
        <w:rPr>
          <w:rFonts w:hint="eastAsia"/>
          <w:b/>
          <w:bCs/>
          <w:lang w:val="en-US" w:eastAsia="zh-CN"/>
        </w:rPr>
        <w:t xml:space="preserve">Proposal 2: </w:t>
      </w:r>
      <w:r>
        <w:rPr>
          <w:rFonts w:hint="eastAsia"/>
          <w:b w:val="0"/>
          <w:bCs w:val="0"/>
          <w:i/>
          <w:iCs/>
          <w:lang w:val="en-US" w:eastAsia="zh-CN"/>
        </w:rPr>
        <w:t>LBT type used by UE for UL transmission should be indicated by gNB.</w:t>
      </w:r>
    </w:p>
    <w:p>
      <w:pPr>
        <w:numPr>
          <w:ilvl w:val="255"/>
          <w:numId w:val="0"/>
        </w:numPr>
        <w:spacing w:before="137" w:beforeLines="50" w:after="137" w:afterLines="50" w:line="240" w:lineRule="auto"/>
        <w:jc w:val="both"/>
        <w:rPr>
          <w:rFonts w:hint="default"/>
          <w:lang w:val="en-US" w:eastAsia="zh-CN"/>
        </w:rPr>
      </w:pPr>
      <w:r>
        <w:rPr>
          <w:rFonts w:hint="eastAsia"/>
          <w:lang w:val="en-US" w:eastAsia="zh-CN"/>
        </w:rPr>
        <w:t>Besides, further discussion is needed on whether LBT priority should be indicated to UE. If Cat-4 LBT is indicated to UE for PUSCH transmission, it doesn</w:t>
      </w:r>
      <w:r>
        <w:rPr>
          <w:rFonts w:hint="default"/>
          <w:lang w:val="en-US" w:eastAsia="zh-CN"/>
        </w:rPr>
        <w:t>’</w:t>
      </w:r>
      <w:r>
        <w:rPr>
          <w:rFonts w:hint="eastAsia"/>
          <w:lang w:val="en-US" w:eastAsia="zh-CN"/>
        </w:rPr>
        <w:t xml:space="preserve">t seem necessary for gNB to indicate LBT priority to UE due to channel access priority class is selected according to the data. Further, lowest LBT priority class value has been specified/predefined for certain channels/signals such as SRS-only, RACH-only or PUCCH-only, then it is unnecessary to indicate LBT priority to UE again. The above contents have been agreed in NR-U SID. Therefore, we believe that LBT priority is unnecessary to be indicated to UE.  </w:t>
      </w:r>
    </w:p>
    <w:p>
      <w:pPr>
        <w:spacing w:before="137" w:beforeLines="50" w:after="137" w:afterLines="50"/>
        <w:jc w:val="both"/>
        <w:rPr>
          <w:rFonts w:hint="default"/>
          <w:highlight w:val="none"/>
          <w:lang w:val="en-US" w:eastAsia="zh-CN"/>
        </w:rPr>
      </w:pPr>
      <w:r>
        <w:rPr>
          <w:rFonts w:hint="eastAsia"/>
          <w:b/>
          <w:bCs/>
          <w:lang w:val="en-US" w:eastAsia="zh-CN"/>
        </w:rPr>
        <w:t xml:space="preserve">Proposal 3: </w:t>
      </w:r>
      <w:r>
        <w:rPr>
          <w:rFonts w:hint="eastAsia"/>
          <w:b w:val="0"/>
          <w:bCs w:val="0"/>
          <w:i/>
          <w:iCs/>
          <w:lang w:val="en-US" w:eastAsia="zh-CN"/>
        </w:rPr>
        <w:t xml:space="preserve">LBT priority is unnecessary to be indicated to UE when Cat-4 LBT is indicated for </w:t>
      </w:r>
      <w:r>
        <w:rPr>
          <w:rFonts w:hint="eastAsia"/>
          <w:i/>
          <w:iCs/>
          <w:highlight w:val="none"/>
          <w:lang w:val="en-US" w:eastAsia="zh-CN"/>
        </w:rPr>
        <w:t>SRS-only, RACH-only or PUCCH-only.</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CW</w:t>
      </w:r>
      <w:r>
        <w:rPr>
          <w:rFonts w:hint="eastAsia" w:ascii="Times New Roman" w:hAnsi="Times New Roman"/>
          <w:b/>
          <w:bCs w:val="0"/>
          <w:sz w:val="24"/>
          <w:szCs w:val="24"/>
          <w:lang w:val="en-US" w:eastAsia="zh-CN"/>
        </w:rPr>
        <w:t>S</w:t>
      </w:r>
      <w:r>
        <w:rPr>
          <w:rFonts w:ascii="Times New Roman" w:hAnsi="Times New Roman"/>
          <w:b/>
          <w:bCs w:val="0"/>
          <w:sz w:val="24"/>
          <w:szCs w:val="24"/>
          <w:lang w:val="en-US" w:eastAsia="zh-CN"/>
        </w:rPr>
        <w:t xml:space="preserve"> adjustment</w:t>
      </w:r>
    </w:p>
    <w:p>
      <w:pPr>
        <w:spacing w:before="137" w:beforeLines="50" w:after="137" w:afterLines="50" w:line="240" w:lineRule="auto"/>
        <w:jc w:val="both"/>
      </w:pPr>
      <w:r>
        <w:rPr>
          <w:rFonts w:hint="eastAsia" w:eastAsia="宋体"/>
          <w:lang w:val="en-US" w:eastAsia="zh-CN"/>
        </w:rPr>
        <w:t>I</w:t>
      </w:r>
      <w:r>
        <w:t>n LTE LAA, DL CWS is determined based on the NACK ratio Z of the HARQ-ACKs for the TBs in the DL reference subframe.</w:t>
      </w:r>
      <w:r>
        <w:rPr>
          <w:rFonts w:hint="eastAsia" w:eastAsia="宋体"/>
          <w:lang w:val="en-US" w:eastAsia="zh-CN"/>
        </w:rPr>
        <w:t xml:space="preserve"> </w:t>
      </w:r>
      <w:r>
        <w:t>UL CWS is determined based on the presence of ACK feedback for the TBs in the UL reference subframe</w:t>
      </w:r>
      <w:r>
        <w:rPr>
          <w:rFonts w:hint="eastAsia" w:eastAsia="宋体"/>
          <w:lang w:val="en-US" w:eastAsia="zh-CN"/>
        </w:rPr>
        <w:t xml:space="preserve"> or the HARQ process</w:t>
      </w:r>
      <w:r>
        <w:t>.</w:t>
      </w:r>
    </w:p>
    <w:p>
      <w:pPr>
        <w:pStyle w:val="4"/>
        <w:rPr>
          <w:rFonts w:hint="eastAsia" w:ascii="Times New Roman" w:hAnsi="Times New Roman" w:eastAsia="宋体" w:cs="Times New Roman"/>
          <w:b/>
          <w:bCs w:val="0"/>
          <w:sz w:val="21"/>
          <w:szCs w:val="21"/>
          <w:u w:val="none"/>
          <w:lang w:val="en-US" w:eastAsia="zh-CN"/>
        </w:rPr>
      </w:pPr>
      <w:r>
        <w:rPr>
          <w:rFonts w:hint="eastAsia" w:ascii="Times New Roman" w:hAnsi="Times New Roman" w:eastAsia="宋体" w:cs="Times New Roman"/>
          <w:b/>
          <w:bCs w:val="0"/>
          <w:sz w:val="21"/>
          <w:szCs w:val="21"/>
          <w:u w:val="none"/>
          <w:lang w:val="en-US" w:eastAsia="zh-CN"/>
        </w:rPr>
        <w:t xml:space="preserve"> CBG based HARQ-ACK feedback</w:t>
      </w:r>
    </w:p>
    <w:p>
      <w:pPr>
        <w:tabs>
          <w:tab w:val="left" w:pos="450"/>
          <w:tab w:val="left" w:pos="720"/>
        </w:tabs>
        <w:spacing w:before="137" w:beforeLines="50" w:after="137" w:afterLines="50" w:line="240" w:lineRule="auto"/>
        <w:jc w:val="both"/>
      </w:pPr>
      <w:r>
        <w:rPr>
          <w:rFonts w:hint="eastAsia" w:eastAsia="宋体"/>
          <w:lang w:val="en-US" w:eastAsia="zh-CN"/>
        </w:rPr>
        <w:t xml:space="preserve">In NR, CBG based HARQ-ACK feedback is introduced. In NR-U, if CBG based HARQ-ACK feedback is configured, </w:t>
      </w:r>
      <w:r>
        <w:t>it needs to be further studied how to count multiple CBG-ACKs per TB into the ACK</w:t>
      </w:r>
      <w:r>
        <w:rPr>
          <w:rFonts w:hint="eastAsia" w:eastAsia="宋体"/>
          <w:lang w:val="en-US" w:eastAsia="zh-CN"/>
        </w:rPr>
        <w:t>/NACK</w:t>
      </w:r>
      <w:r>
        <w:t xml:space="preserve"> ratio Z in CWS adjustment.</w:t>
      </w:r>
      <w:r>
        <w:rPr>
          <w:rFonts w:hint="eastAsia" w:eastAsia="宋体"/>
          <w:lang w:val="en-US" w:eastAsia="zh-CN"/>
        </w:rPr>
        <w:t xml:space="preserve"> </w:t>
      </w:r>
      <w:r>
        <w:rPr>
          <w:rFonts w:eastAsia="宋体"/>
          <w:lang w:val="en-US" w:eastAsia="zh-CN"/>
        </w:rPr>
        <w:t>The following</w:t>
      </w:r>
      <w:r>
        <w:rPr>
          <w:rFonts w:hint="eastAsia" w:eastAsia="宋体"/>
          <w:lang w:val="en-US" w:eastAsia="zh-CN"/>
        </w:rPr>
        <w:t xml:space="preserve"> </w:t>
      </w:r>
      <w:r>
        <w:t>candidate solution</w:t>
      </w:r>
      <w:r>
        <w:rPr>
          <w:rFonts w:hint="eastAsia" w:eastAsia="宋体"/>
          <w:lang w:val="en-US" w:eastAsia="zh-CN"/>
        </w:rPr>
        <w:t>s can be considered.</w:t>
      </w:r>
    </w:p>
    <w:p>
      <w:pPr>
        <w:numPr>
          <w:ilvl w:val="0"/>
          <w:numId w:val="11"/>
        </w:numPr>
        <w:tabs>
          <w:tab w:val="left" w:pos="450"/>
          <w:tab w:val="left" w:pos="720"/>
        </w:tabs>
        <w:spacing w:before="137" w:beforeLines="50" w:after="137" w:afterLines="50" w:line="240" w:lineRule="auto"/>
        <w:ind w:left="454" w:hanging="454"/>
        <w:jc w:val="both"/>
      </w:pPr>
      <w:r>
        <w:rPr>
          <w:rFonts w:hint="eastAsia" w:eastAsia="宋体"/>
          <w:lang w:val="en-US" w:eastAsia="zh-CN"/>
        </w:rPr>
        <w:t>Alt-1: CBG level ACK/NACK is co</w:t>
      </w:r>
      <w:r>
        <w:rPr>
          <w:rFonts w:eastAsia="宋体"/>
          <w:lang w:val="en-US" w:eastAsia="zh-CN"/>
        </w:rPr>
        <w:t>n</w:t>
      </w:r>
      <w:r>
        <w:rPr>
          <w:rFonts w:hint="eastAsia" w:eastAsia="宋体"/>
          <w:lang w:val="en-US" w:eastAsia="zh-CN"/>
        </w:rPr>
        <w:t>verted into TB level ACK/NACK. Wherein, t</w:t>
      </w:r>
      <w:r>
        <w:t xml:space="preserve">he </w:t>
      </w:r>
      <w:r>
        <w:rPr>
          <w:rFonts w:hint="eastAsia" w:eastAsia="宋体"/>
          <w:lang w:val="en-US" w:eastAsia="zh-CN"/>
        </w:rPr>
        <w:t>ACK/N</w:t>
      </w:r>
      <w:r>
        <w:t xml:space="preserve">ACK ratio Z </w:t>
      </w:r>
      <w:r>
        <w:rPr>
          <w:rFonts w:hint="eastAsia" w:eastAsia="宋体"/>
          <w:lang w:val="en-US" w:eastAsia="zh-CN"/>
        </w:rPr>
        <w:t xml:space="preserve">is </w:t>
      </w:r>
      <w:r>
        <w:rPr>
          <w:rFonts w:eastAsia="宋体"/>
          <w:lang w:val="en-US" w:eastAsia="zh-CN"/>
        </w:rPr>
        <w:t>of</w:t>
      </w:r>
      <w:r>
        <w:rPr>
          <w:rFonts w:hint="eastAsia" w:eastAsia="宋体"/>
          <w:lang w:val="en-US" w:eastAsia="zh-CN"/>
        </w:rPr>
        <w:t xml:space="preserve"> TB level.</w:t>
      </w:r>
    </w:p>
    <w:p>
      <w:pPr>
        <w:numPr>
          <w:ilvl w:val="255"/>
          <w:numId w:val="0"/>
        </w:numPr>
        <w:tabs>
          <w:tab w:val="left" w:pos="450"/>
          <w:tab w:val="left" w:pos="720"/>
        </w:tabs>
        <w:spacing w:before="137" w:beforeLines="50" w:after="137" w:afterLines="50" w:line="240" w:lineRule="auto"/>
        <w:jc w:val="both"/>
      </w:pPr>
      <w:r>
        <w:rPr>
          <w:rFonts w:hint="eastAsia" w:eastAsia="宋体"/>
          <w:lang w:val="en-US" w:eastAsia="zh-CN"/>
        </w:rPr>
        <w:t xml:space="preserve">For example, if all CBG for the same TB within the reference slot are ACK/NACKs, the CBG level ACK/NACK for the TB is counted as a TB level ACK/NACK. If one of all CBG for the same TB within the reference slot is ACK/NACK, the CBG level ACK/NACK for the TB is counted as a TB level ACK/NACK. </w:t>
      </w:r>
    </w:p>
    <w:p>
      <w:pPr>
        <w:numPr>
          <w:ilvl w:val="0"/>
          <w:numId w:val="11"/>
        </w:numPr>
        <w:tabs>
          <w:tab w:val="left" w:pos="450"/>
          <w:tab w:val="left" w:pos="720"/>
        </w:tabs>
        <w:spacing w:before="137" w:beforeLines="50" w:after="137" w:afterLines="50" w:line="240" w:lineRule="auto"/>
        <w:ind w:left="454" w:hanging="454" w:firstLineChars="0"/>
        <w:jc w:val="both"/>
        <w:rPr>
          <w:rFonts w:eastAsia="宋体"/>
          <w:lang w:val="en-US" w:eastAsia="zh-CN"/>
        </w:rPr>
      </w:pPr>
      <w:r>
        <w:rPr>
          <w:rFonts w:hint="eastAsia" w:eastAsia="宋体"/>
          <w:sz w:val="21"/>
          <w:szCs w:val="22"/>
          <w:lang w:val="en-US" w:eastAsia="zh-CN"/>
        </w:rPr>
        <w:t>Alt</w:t>
      </w:r>
      <w:r>
        <w:rPr>
          <w:rFonts w:eastAsia="宋体"/>
          <w:lang w:val="en-US" w:eastAsia="zh-CN"/>
        </w:rPr>
        <w:t>-2: Redefinition of ACK/NACK ratio Z in order to include TB level ACK/NACK and CBG level ACK/NACK.</w:t>
      </w:r>
    </w:p>
    <w:p>
      <w:pPr>
        <w:numPr>
          <w:ilvl w:val="255"/>
          <w:numId w:val="0"/>
        </w:numPr>
        <w:tabs>
          <w:tab w:val="left" w:pos="450"/>
          <w:tab w:val="left" w:pos="720"/>
        </w:tabs>
        <w:spacing w:before="137" w:beforeLines="50" w:after="137" w:afterLines="50" w:line="240" w:lineRule="auto"/>
        <w:jc w:val="both"/>
        <w:rPr>
          <w:rFonts w:eastAsia="宋体"/>
          <w:lang w:val="en-US" w:eastAsia="zh-CN"/>
        </w:rPr>
      </w:pPr>
      <w:r>
        <w:rPr>
          <w:rFonts w:hint="eastAsia" w:eastAsia="宋体"/>
          <w:lang w:val="en-US" w:eastAsia="zh-CN"/>
        </w:rPr>
        <w:t xml:space="preserve">ACK/NACK ratio Z can be defined as </w:t>
      </w:r>
      <w:r>
        <w:rPr>
          <w:rFonts w:eastAsia="宋体"/>
          <w:lang w:val="en-US" w:eastAsia="zh-CN"/>
        </w:rPr>
        <w:t>the ratio of</w:t>
      </w:r>
      <w:r>
        <w:rPr>
          <w:rFonts w:hint="eastAsia" w:eastAsia="宋体"/>
          <w:lang w:val="en-US" w:eastAsia="zh-CN"/>
        </w:rPr>
        <w:t xml:space="preserve"> total number of ACK/NACK of TB and CBG</w:t>
      </w:r>
      <w:r>
        <w:rPr>
          <w:rFonts w:eastAsia="宋体"/>
          <w:lang w:val="en-US" w:eastAsia="zh-CN"/>
        </w:rPr>
        <w:t xml:space="preserve"> and</w:t>
      </w:r>
      <w:r>
        <w:rPr>
          <w:rFonts w:hint="eastAsia" w:eastAsia="宋体"/>
          <w:lang w:val="en-US" w:eastAsia="zh-CN"/>
        </w:rPr>
        <w:t xml:space="preserve"> total </w:t>
      </w:r>
      <w:r>
        <w:rPr>
          <w:rFonts w:eastAsia="宋体"/>
          <w:lang w:val="en-US" w:eastAsia="zh-CN"/>
        </w:rPr>
        <w:t xml:space="preserve">number </w:t>
      </w:r>
      <w:r>
        <w:rPr>
          <w:rFonts w:hint="eastAsia" w:eastAsia="宋体"/>
          <w:lang w:val="en-US" w:eastAsia="zh-CN"/>
        </w:rPr>
        <w:t>of transmitted TB and CBG within the reference slot/subframe.</w:t>
      </w:r>
    </w:p>
    <w:p>
      <w:pPr>
        <w:numPr>
          <w:ilvl w:val="255"/>
          <w:numId w:val="0"/>
        </w:numPr>
        <w:adjustRightInd w:val="0"/>
        <w:spacing w:before="137" w:beforeLines="50" w:after="137" w:afterLines="50" w:line="240" w:lineRule="auto"/>
        <w:jc w:val="both"/>
        <w:rPr>
          <w:i/>
          <w:iCs/>
          <w:lang w:val="en-US" w:eastAsia="zh-CN"/>
        </w:rPr>
      </w:pPr>
      <w:r>
        <w:rPr>
          <w:rFonts w:hint="eastAsia"/>
          <w:b/>
          <w:bCs/>
          <w:lang w:val="en-US" w:eastAsia="zh-CN"/>
        </w:rPr>
        <w:t xml:space="preserve">Proposal 4: </w:t>
      </w:r>
      <w:r>
        <w:rPr>
          <w:i/>
          <w:iCs/>
          <w:lang w:val="en-US" w:eastAsia="zh-CN"/>
        </w:rPr>
        <w:t xml:space="preserve">If CBG based HARQ-ACK feedback is configured for NR-U, </w:t>
      </w:r>
      <w:r>
        <w:rPr>
          <w:rFonts w:hint="eastAsia"/>
          <w:i/>
          <w:iCs/>
          <w:lang w:val="en-US" w:eastAsia="zh-CN"/>
        </w:rPr>
        <w:t>ACK/</w:t>
      </w:r>
      <w:r>
        <w:rPr>
          <w:i/>
          <w:iCs/>
          <w:lang w:val="en-US" w:eastAsia="zh-CN"/>
        </w:rPr>
        <w:t>NACK ratio Z can be counted/determined by one of the following methods:</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Alt-1: CBG level ACK/NACK is co</w:t>
      </w:r>
      <w:r>
        <w:rPr>
          <w:rFonts w:eastAsia="宋体"/>
          <w:bCs/>
          <w:i/>
          <w:iCs/>
          <w:lang w:val="en-US" w:eastAsia="zh-CN"/>
        </w:rPr>
        <w:t>n</w:t>
      </w:r>
      <w:r>
        <w:rPr>
          <w:rFonts w:hint="eastAsia" w:eastAsia="宋体"/>
          <w:bCs/>
          <w:i/>
          <w:iCs/>
          <w:lang w:val="en-US" w:eastAsia="zh-CN"/>
        </w:rPr>
        <w:t>verted into TB level ACK/NACK. Wherein, the ACK/NACK ratio Z is of TB level.</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Alt-2: Redefinition ACK/NACK ratio Z in order to include TB level ACK/NACK and CBG level ACK/NACK.</w:t>
      </w:r>
    </w:p>
    <w:p>
      <w:pPr>
        <w:pStyle w:val="4"/>
        <w:rPr>
          <w:rFonts w:hint="eastAsia" w:ascii="Times New Roman" w:hAnsi="Times New Roman" w:eastAsia="宋体" w:cs="Times New Roman"/>
          <w:b/>
          <w:bCs w:val="0"/>
          <w:sz w:val="21"/>
          <w:szCs w:val="21"/>
          <w:u w:val="none"/>
          <w:lang w:val="en-US" w:eastAsia="zh-CN"/>
        </w:rPr>
      </w:pPr>
      <w:r>
        <w:rPr>
          <w:rFonts w:hint="eastAsia" w:ascii="Times New Roman" w:hAnsi="Times New Roman" w:eastAsia="宋体" w:cs="Times New Roman"/>
          <w:b/>
          <w:bCs w:val="0"/>
          <w:sz w:val="21"/>
          <w:szCs w:val="21"/>
          <w:u w:val="none"/>
          <w:lang w:val="en-US" w:eastAsia="zh-CN"/>
        </w:rPr>
        <w:t xml:space="preserve"> Reference Slot</w:t>
      </w:r>
    </w:p>
    <w:p>
      <w:pPr>
        <w:tabs>
          <w:tab w:val="left" w:pos="450"/>
          <w:tab w:val="left" w:pos="720"/>
        </w:tabs>
        <w:spacing w:before="137" w:beforeLines="50" w:after="137" w:afterLines="50" w:line="240" w:lineRule="auto"/>
        <w:jc w:val="both"/>
        <w:rPr>
          <w:rFonts w:eastAsia="宋体"/>
          <w:lang w:val="en-US" w:eastAsia="zh-CN"/>
        </w:rPr>
      </w:pPr>
      <w:r>
        <w:rPr>
          <w:rFonts w:hint="eastAsia" w:eastAsia="宋体"/>
          <w:lang w:val="en-US" w:eastAsia="zh-CN"/>
        </w:rPr>
        <w:t xml:space="preserve">For DL/UL </w:t>
      </w:r>
      <w:r>
        <w:t>reference subframe</w:t>
      </w:r>
      <w:r>
        <w:rPr>
          <w:rFonts w:hint="eastAsia" w:eastAsia="宋体"/>
          <w:lang w:val="en-US" w:eastAsia="zh-CN"/>
        </w:rPr>
        <w:t xml:space="preserve"> determination, w</w:t>
      </w:r>
      <w:r>
        <w:rPr>
          <w:rFonts w:eastAsia="宋体"/>
          <w:lang w:val="en-US" w:eastAsia="zh-CN"/>
        </w:rPr>
        <w:t xml:space="preserve">hen </w:t>
      </w:r>
      <w:r>
        <w:rPr>
          <w:rFonts w:hint="eastAsia" w:eastAsia="宋体"/>
          <w:lang w:val="en-US" w:eastAsia="zh-CN"/>
        </w:rPr>
        <w:t xml:space="preserve">NR-U </w:t>
      </w:r>
      <w:r>
        <w:rPr>
          <w:rFonts w:eastAsia="宋体"/>
          <w:lang w:val="en-US" w:eastAsia="zh-CN"/>
        </w:rPr>
        <w:t xml:space="preserve">supports </w:t>
      </w:r>
      <w:r>
        <w:rPr>
          <w:rFonts w:hint="eastAsia"/>
          <w:lang w:eastAsia="ko-KR"/>
        </w:rPr>
        <w:t>flexible DL/UL scheduling/HARQ timing</w:t>
      </w:r>
      <w:r>
        <w:rPr>
          <w:rFonts w:hint="eastAsia" w:eastAsia="宋体"/>
          <w:lang w:val="en-US" w:eastAsia="zh-CN"/>
        </w:rPr>
        <w:t>, how to determine the reference slot</w:t>
      </w:r>
      <w:r>
        <w:rPr>
          <w:rFonts w:eastAsia="宋体"/>
          <w:lang w:val="en-US" w:eastAsia="zh-CN"/>
        </w:rPr>
        <w:t xml:space="preserve"> needs to be discussed</w:t>
      </w:r>
      <w:r>
        <w:rPr>
          <w:rFonts w:hint="eastAsia" w:eastAsia="宋体"/>
          <w:lang w:val="en-US" w:eastAsia="zh-CN"/>
        </w:rPr>
        <w:t xml:space="preserve">. Although NR-U </w:t>
      </w:r>
      <w:r>
        <w:rPr>
          <w:rFonts w:hint="eastAsia" w:eastAsia="宋体"/>
          <w:lang w:val="en-US" w:eastAsia="ko-KR"/>
        </w:rPr>
        <w:t xml:space="preserve">can adapt </w:t>
      </w:r>
      <w:r>
        <w:rPr>
          <w:rFonts w:eastAsia="宋体"/>
          <w:lang w:val="en-US" w:eastAsia="ko-KR"/>
        </w:rPr>
        <w:t xml:space="preserve">to </w:t>
      </w:r>
      <w:r>
        <w:rPr>
          <w:rFonts w:hint="eastAsia" w:eastAsia="宋体"/>
          <w:lang w:val="en-US" w:eastAsia="zh-CN"/>
        </w:rPr>
        <w:t xml:space="preserve">flexible </w:t>
      </w:r>
      <w:r>
        <w:rPr>
          <w:rFonts w:hint="eastAsia" w:eastAsia="宋体"/>
          <w:lang w:val="en-US" w:eastAsia="ko-KR"/>
        </w:rPr>
        <w:t>timing relationship between PDSCH and UL HARQ feedback, between PUSCH transmission and retransmission, and so on</w:t>
      </w:r>
      <w:r>
        <w:rPr>
          <w:rFonts w:hint="eastAsia" w:eastAsia="宋体"/>
          <w:lang w:val="en-US" w:eastAsia="zh-CN"/>
        </w:rPr>
        <w:t>, the reference slot for CWS adjustment should still be defined as the first slot or the first and second slots of the latest DL/UL data burst.</w:t>
      </w:r>
    </w:p>
    <w:p>
      <w:pPr>
        <w:numPr>
          <w:ilvl w:val="255"/>
          <w:numId w:val="0"/>
        </w:numPr>
        <w:spacing w:before="137" w:beforeLines="50" w:after="137" w:afterLines="50" w:line="240" w:lineRule="auto"/>
        <w:jc w:val="both"/>
        <w:rPr>
          <w:rFonts w:hint="eastAsia"/>
          <w:i/>
          <w:iCs/>
          <w:lang w:val="en-US" w:eastAsia="zh-CN"/>
        </w:rPr>
      </w:pPr>
      <w:r>
        <w:rPr>
          <w:rFonts w:hint="eastAsia"/>
          <w:b/>
          <w:bCs/>
          <w:lang w:val="en-US" w:eastAsia="zh-CN"/>
        </w:rPr>
        <w:t xml:space="preserve">Proposal 5: </w:t>
      </w:r>
      <w:r>
        <w:rPr>
          <w:rFonts w:hint="eastAsia"/>
          <w:i/>
          <w:iCs/>
          <w:lang w:val="en-US" w:eastAsia="zh-CN"/>
        </w:rPr>
        <w:t>The reference slot for CWs adjustment should be defined as the first slot or the first and second slot of the latest DL/UL date burst for NR-U.</w:t>
      </w:r>
    </w:p>
    <w:p>
      <w:pPr>
        <w:pStyle w:val="4"/>
        <w:rPr>
          <w:rFonts w:hint="eastAsia" w:ascii="Times New Roman" w:hAnsi="Times New Roman" w:eastAsia="宋体" w:cs="Times New Roman"/>
          <w:b/>
          <w:bCs w:val="0"/>
          <w:sz w:val="21"/>
          <w:szCs w:val="21"/>
          <w:u w:val="none"/>
          <w:lang w:val="en-US" w:eastAsia="zh-CN"/>
        </w:rPr>
      </w:pPr>
      <w:r>
        <w:rPr>
          <w:rFonts w:hint="eastAsia" w:ascii="Times New Roman" w:hAnsi="Times New Roman" w:eastAsia="宋体" w:cs="Times New Roman"/>
          <w:b/>
          <w:bCs w:val="0"/>
          <w:sz w:val="21"/>
          <w:szCs w:val="21"/>
          <w:u w:val="none"/>
          <w:lang w:val="en-US" w:eastAsia="zh-CN"/>
        </w:rPr>
        <w:t xml:space="preserve"> CWS adjustment for Configured Grant</w:t>
      </w:r>
    </w:p>
    <w:p>
      <w:pPr>
        <w:tabs>
          <w:tab w:val="left" w:pos="450"/>
          <w:tab w:val="left" w:pos="720"/>
        </w:tabs>
        <w:spacing w:before="137" w:beforeLines="50" w:after="137" w:afterLines="50" w:line="240" w:lineRule="auto"/>
        <w:jc w:val="both"/>
        <w:rPr>
          <w:lang w:val="en-US" w:eastAsia="zh-CN"/>
        </w:rPr>
      </w:pPr>
      <w:r>
        <w:rPr>
          <w:rFonts w:eastAsia="宋体"/>
          <w:lang w:val="en-US" w:eastAsia="zh-CN"/>
        </w:rPr>
        <w:t>In</w:t>
      </w:r>
      <w:r>
        <w:rPr>
          <w:rFonts w:hint="eastAsia" w:eastAsia="宋体"/>
          <w:lang w:val="en-US" w:eastAsia="zh-CN"/>
        </w:rPr>
        <w:t xml:space="preserve"> </w:t>
      </w:r>
      <w:r>
        <w:rPr>
          <w:rFonts w:eastAsia="宋体"/>
          <w:lang w:val="en-US" w:eastAsia="zh-CN"/>
        </w:rPr>
        <w:t>configured</w:t>
      </w:r>
      <w:r>
        <w:t xml:space="preserve"> grant operation</w:t>
      </w:r>
      <w:r>
        <w:rPr>
          <w:rFonts w:hint="eastAsia" w:eastAsia="宋体"/>
          <w:lang w:val="en-US" w:eastAsia="zh-CN"/>
        </w:rPr>
        <w:t xml:space="preserve">, the CWS adjustment scheme specified in AUL of R14 eLAA can be used as the baseline, further enhancement can be considered for </w:t>
      </w:r>
      <w:r>
        <w:rPr>
          <w:rFonts w:eastAsia="宋体"/>
          <w:lang w:val="en-US" w:eastAsia="zh-CN"/>
        </w:rPr>
        <w:t>configured</w:t>
      </w:r>
      <w:r>
        <w:t xml:space="preserve"> grant</w:t>
      </w:r>
      <w:r>
        <w:rPr>
          <w:rFonts w:hint="eastAsia" w:eastAsia="宋体"/>
          <w:lang w:val="en-US" w:eastAsia="zh-CN"/>
        </w:rPr>
        <w:t xml:space="preserve"> </w:t>
      </w:r>
      <w:r>
        <w:rPr>
          <w:rFonts w:eastAsia="宋体"/>
          <w:lang w:val="en-US" w:eastAsia="zh-CN"/>
        </w:rPr>
        <w:t xml:space="preserve">specific </w:t>
      </w:r>
      <w:r>
        <w:rPr>
          <w:rFonts w:hint="eastAsia" w:eastAsia="宋体"/>
          <w:lang w:val="en-US" w:eastAsia="zh-CN"/>
        </w:rPr>
        <w:t xml:space="preserve">characteristic </w:t>
      </w:r>
      <w:r>
        <w:rPr>
          <w:rFonts w:eastAsia="宋体"/>
          <w:lang w:val="en-US" w:eastAsia="zh-CN"/>
        </w:rPr>
        <w:t>once</w:t>
      </w:r>
      <w:r>
        <w:rPr>
          <w:rFonts w:hint="eastAsia" w:eastAsia="宋体"/>
          <w:lang w:val="en-US" w:eastAsia="zh-CN"/>
        </w:rPr>
        <w:t xml:space="preserve"> the </w:t>
      </w:r>
      <w:r>
        <w:rPr>
          <w:rFonts w:eastAsia="宋体"/>
          <w:lang w:val="en-US" w:eastAsia="zh-CN"/>
        </w:rPr>
        <w:t>configured</w:t>
      </w:r>
      <w:r>
        <w:t xml:space="preserve"> grant</w:t>
      </w:r>
      <w:r>
        <w:rPr>
          <w:rFonts w:hint="eastAsia" w:eastAsia="宋体"/>
          <w:lang w:val="en-US" w:eastAsia="zh-CN"/>
        </w:rPr>
        <w:t xml:space="preserve"> UL transmission procedure for NR-U </w:t>
      </w:r>
      <w:r>
        <w:rPr>
          <w:rFonts w:eastAsia="宋体"/>
          <w:lang w:val="en-US" w:eastAsia="zh-CN"/>
        </w:rPr>
        <w:t>is defined</w:t>
      </w:r>
      <w:r>
        <w:rPr>
          <w:rFonts w:hint="eastAsia" w:eastAsia="宋体"/>
          <w:lang w:val="en-US" w:eastAsia="zh-CN"/>
        </w:rPr>
        <w:t xml:space="preserve">. </w:t>
      </w:r>
    </w:p>
    <w:p>
      <w:pPr>
        <w:spacing w:before="137" w:beforeLines="50" w:after="137" w:afterLines="50" w:line="240" w:lineRule="auto"/>
        <w:jc w:val="both"/>
        <w:rPr>
          <w:rFonts w:hint="eastAsia" w:eastAsia="宋体"/>
          <w:i/>
          <w:iCs/>
          <w:lang w:val="en-US" w:eastAsia="zh-CN"/>
        </w:rPr>
      </w:pPr>
      <w:r>
        <w:rPr>
          <w:rFonts w:hint="eastAsia"/>
          <w:b/>
          <w:bCs/>
          <w:lang w:val="en-US" w:eastAsia="zh-CN"/>
        </w:rPr>
        <w:t xml:space="preserve">Proposal 6: </w:t>
      </w:r>
      <w:r>
        <w:rPr>
          <w:rFonts w:hint="eastAsia"/>
          <w:i/>
          <w:iCs/>
          <w:lang w:val="en-US" w:eastAsia="zh-CN"/>
        </w:rPr>
        <w:t xml:space="preserve">For CWS adjustment for configured grant, </w:t>
      </w:r>
      <w:r>
        <w:rPr>
          <w:rFonts w:hint="eastAsia" w:eastAsia="宋体"/>
          <w:i/>
          <w:iCs/>
          <w:lang w:val="en-US" w:eastAsia="zh-CN"/>
        </w:rPr>
        <w:t>the CWS adjustment scheme specified in AUL of R14 eLAA can be used as a starting point for study.</w:t>
      </w:r>
    </w:p>
    <w:p>
      <w:pPr>
        <w:pStyle w:val="4"/>
        <w:rPr>
          <w:rFonts w:hint="default" w:ascii="Times New Roman" w:hAnsi="Times New Roman" w:eastAsia="宋体" w:cs="Times New Roman"/>
          <w:b/>
          <w:bCs w:val="0"/>
          <w:i w:val="0"/>
          <w:iCs w:val="0"/>
          <w:sz w:val="21"/>
          <w:szCs w:val="21"/>
          <w:u w:val="none"/>
          <w:lang w:val="en-US" w:eastAsia="zh-CN"/>
        </w:rPr>
      </w:pPr>
      <w:r>
        <w:rPr>
          <w:rFonts w:hint="eastAsia" w:ascii="Times New Roman" w:hAnsi="Times New Roman" w:eastAsia="宋体" w:cs="Times New Roman"/>
          <w:b/>
          <w:bCs w:val="0"/>
          <w:i w:val="0"/>
          <w:iCs w:val="0"/>
          <w:sz w:val="21"/>
          <w:szCs w:val="21"/>
          <w:u w:val="none"/>
          <w:lang w:val="en-US" w:eastAsia="zh-CN"/>
        </w:rPr>
        <w:t xml:space="preserve"> </w:t>
      </w:r>
      <w:r>
        <w:rPr>
          <w:rFonts w:hint="default" w:ascii="Times New Roman" w:hAnsi="Times New Roman" w:eastAsia="宋体" w:cs="Times New Roman"/>
          <w:b/>
          <w:bCs w:val="0"/>
          <w:i w:val="0"/>
          <w:iCs w:val="0"/>
          <w:sz w:val="21"/>
          <w:szCs w:val="21"/>
          <w:u w:val="none"/>
          <w:lang w:val="en-US" w:eastAsia="zh-CN"/>
        </w:rPr>
        <w:t>CWs adjustment for PRACH</w:t>
      </w:r>
    </w:p>
    <w:p>
      <w:pPr>
        <w:tabs>
          <w:tab w:val="left" w:pos="450"/>
          <w:tab w:val="left" w:pos="720"/>
        </w:tabs>
        <w:spacing w:before="137" w:beforeLines="50" w:after="137" w:afterLines="50" w:line="240" w:lineRule="auto"/>
        <w:jc w:val="both"/>
        <w:rPr>
          <w:rFonts w:hint="default" w:eastAsia="宋体"/>
          <w:sz w:val="21"/>
          <w:szCs w:val="22"/>
          <w:lang w:val="en-US" w:eastAsia="zh-CN"/>
        </w:rPr>
      </w:pPr>
      <w:r>
        <w:rPr>
          <w:rFonts w:hint="eastAsia" w:eastAsia="宋体"/>
          <w:b w:val="0"/>
          <w:bCs w:val="0"/>
          <w:sz w:val="21"/>
          <w:szCs w:val="22"/>
          <w:lang w:val="en-US" w:eastAsia="zh-CN"/>
        </w:rPr>
        <w:t>In standalone and dual connectivity scenarios where all UL channels will be transmitted on an unlicensed carrier, it is necessary to consider whether PRACH should be included within the CWs adustment mechanism or not. If yes, CWs adjustment rules for PRACH will need to be further studied and discussed.</w:t>
      </w:r>
    </w:p>
    <w:p>
      <w:pPr>
        <w:spacing w:before="137" w:beforeLines="50" w:after="137" w:afterLines="50"/>
        <w:jc w:val="both"/>
        <w:rPr>
          <w:rFonts w:hint="default"/>
          <w:lang w:val="en-US" w:eastAsia="zh-CN"/>
        </w:rPr>
      </w:pPr>
      <w:r>
        <w:rPr>
          <w:rFonts w:hint="eastAsia"/>
          <w:b/>
          <w:bCs/>
          <w:lang w:val="en-US" w:eastAsia="zh-CN"/>
        </w:rPr>
        <w:t xml:space="preserve">Proposal 7: </w:t>
      </w:r>
      <w:r>
        <w:rPr>
          <w:rFonts w:hint="eastAsia"/>
          <w:b w:val="0"/>
          <w:bCs w:val="0"/>
          <w:i/>
          <w:iCs/>
          <w:lang w:val="en-US" w:eastAsia="zh-CN"/>
        </w:rPr>
        <w:t xml:space="preserve">If CWs adjustment for PRACH is supported for NR-U, it is recommended that specific CWs adjustment rules should be further studied and discussed. </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LBT</w:t>
      </w:r>
      <w:r>
        <w:rPr>
          <w:rFonts w:hint="eastAsia" w:ascii="Times New Roman" w:hAnsi="Times New Roman"/>
          <w:b/>
          <w:bCs w:val="0"/>
          <w:sz w:val="24"/>
          <w:szCs w:val="24"/>
          <w:lang w:val="en-US" w:eastAsia="zh-CN"/>
        </w:rPr>
        <w:t xml:space="preserve"> for </w:t>
      </w:r>
      <w:r>
        <w:rPr>
          <w:rFonts w:ascii="Times New Roman" w:hAnsi="Times New Roman"/>
          <w:b/>
          <w:bCs w:val="0"/>
          <w:sz w:val="24"/>
          <w:szCs w:val="24"/>
          <w:lang w:val="en-US" w:eastAsia="zh-CN"/>
        </w:rPr>
        <w:t>FBE</w:t>
      </w:r>
    </w:p>
    <w:p>
      <w:pPr>
        <w:spacing w:before="137" w:beforeLines="50" w:after="137" w:afterLines="50" w:line="240" w:lineRule="auto"/>
        <w:jc w:val="both"/>
        <w:rPr>
          <w:rFonts w:hint="default"/>
          <w:b w:val="0"/>
          <w:bCs w:val="0"/>
          <w:sz w:val="20"/>
          <w:szCs w:val="20"/>
          <w:lang w:val="en-US" w:eastAsia="zh-CN"/>
        </w:rPr>
      </w:pPr>
      <w:r>
        <w:rPr>
          <w:rFonts w:hint="eastAsia"/>
          <w:b w:val="0"/>
          <w:bCs w:val="0"/>
          <w:sz w:val="20"/>
          <w:szCs w:val="20"/>
          <w:lang w:val="en-US" w:eastAsia="zh-CN"/>
        </w:rPr>
        <w:t>In the ETSI BRAN specifications[4], Frame Based Equipment (FBE) is equipment where the transmit/receive structure has a periodic timing with a periodicity equal to the fixed frame period as shown in Figure5. the initiating device such as gNB shall perform a one-shot LBT(Cat-2 LBT) at the begin of the fixed frame period, if the measured energy in channel is lower than the ED threshold, then gNB shall think channel to be idle and start transmission immediately.</w:t>
      </w:r>
    </w:p>
    <w:p>
      <w:pPr>
        <w:spacing w:before="120" w:after="120" w:line="240" w:lineRule="auto"/>
        <w:jc w:val="center"/>
      </w:pPr>
      <w:r>
        <w:drawing>
          <wp:inline distT="0" distB="0" distL="114300" distR="114300">
            <wp:extent cx="4767580" cy="2359025"/>
            <wp:effectExtent l="0" t="0" r="13970" b="3175"/>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3"/>
                    <pic:cNvPicPr>
                      <a:picLocks noChangeAspect="1"/>
                    </pic:cNvPicPr>
                  </pic:nvPicPr>
                  <pic:blipFill>
                    <a:blip r:embed="rId14"/>
                    <a:stretch>
                      <a:fillRect/>
                    </a:stretch>
                  </pic:blipFill>
                  <pic:spPr>
                    <a:xfrm>
                      <a:off x="0" y="0"/>
                      <a:ext cx="4767580" cy="2359025"/>
                    </a:xfrm>
                    <a:prstGeom prst="rect">
                      <a:avLst/>
                    </a:prstGeom>
                    <a:noFill/>
                    <a:ln>
                      <a:noFill/>
                    </a:ln>
                  </pic:spPr>
                </pic:pic>
              </a:graphicData>
            </a:graphic>
          </wp:inline>
        </w:drawing>
      </w:r>
    </w:p>
    <w:p>
      <w:pPr>
        <w:spacing w:before="120" w:after="120" w:line="240" w:lineRule="auto"/>
        <w:jc w:val="center"/>
        <w:rPr>
          <w:rFonts w:hint="default" w:eastAsia="宋体"/>
          <w:b/>
          <w:bCs/>
          <w:lang w:val="en-US" w:eastAsia="zh-CN"/>
        </w:rPr>
      </w:pPr>
      <w:r>
        <w:rPr>
          <w:rFonts w:hint="eastAsia" w:eastAsia="宋体"/>
          <w:b/>
          <w:bCs/>
          <w:lang w:val="en-US" w:eastAsia="zh-CN"/>
        </w:rPr>
        <w:t>Figure5. Example of timing for Frame based Equipment</w:t>
      </w:r>
    </w:p>
    <w:p>
      <w:pPr>
        <w:spacing w:before="137" w:beforeLines="50" w:after="137" w:afterLines="50" w:line="240" w:lineRule="auto"/>
        <w:jc w:val="both"/>
        <w:rPr>
          <w:rFonts w:hint="eastAsia"/>
          <w:b w:val="0"/>
          <w:bCs w:val="0"/>
          <w:sz w:val="20"/>
          <w:szCs w:val="20"/>
          <w:lang w:val="en-US" w:eastAsia="zh-CN"/>
        </w:rPr>
      </w:pPr>
      <w:r>
        <w:rPr>
          <w:rFonts w:hint="eastAsia"/>
          <w:b w:val="0"/>
          <w:bCs w:val="0"/>
          <w:sz w:val="20"/>
          <w:szCs w:val="20"/>
          <w:lang w:val="en-US" w:eastAsia="zh-CN"/>
        </w:rPr>
        <w:t>For synchronous system, when multiple devices coexist in the operating channel, then it is possible that channel access is always successful since they perform LBT simultaneously. Although this has less specification impacts, there may be a risk of strong interference for gNBs within channel occupancy time.</w:t>
      </w:r>
    </w:p>
    <w:p>
      <w:pPr>
        <w:spacing w:before="137" w:beforeLines="50" w:after="137" w:afterLines="50" w:line="240" w:lineRule="auto"/>
        <w:jc w:val="both"/>
        <w:rPr>
          <w:lang w:val="en-US" w:eastAsia="zh-CN"/>
        </w:rPr>
      </w:pPr>
      <w:r>
        <w:rPr>
          <w:rFonts w:hint="eastAsia"/>
          <w:b w:val="0"/>
          <w:bCs w:val="0"/>
          <w:sz w:val="20"/>
          <w:szCs w:val="20"/>
          <w:lang w:val="en-US" w:eastAsia="zh-CN"/>
        </w:rPr>
        <w:t xml:space="preserve">For asynchronous system, LBT performed by a gNB may always blocked by the transmission from a nearby asynchronous gNB, which will result in low channel access probability and unfair channel access opportunity. In order to alleviate this issue, </w:t>
      </w:r>
      <w:r>
        <w:rPr>
          <w:rFonts w:hint="eastAsia"/>
          <w:lang w:val="en-US" w:eastAsia="zh-CN"/>
        </w:rPr>
        <w:t>multiple CCAs opportunities such as enhanced Cat</w:t>
      </w:r>
      <w:r>
        <w:rPr>
          <w:lang w:val="en-US" w:eastAsia="zh-CN"/>
        </w:rPr>
        <w:t xml:space="preserve"> </w:t>
      </w:r>
      <w:r>
        <w:rPr>
          <w:rFonts w:hint="eastAsia"/>
          <w:lang w:val="en-US" w:eastAsia="zh-CN"/>
        </w:rPr>
        <w:t>2 LBT can be introduced for FBE based LBT. Wherein, multiple CCAs opportunities is cell specific.</w:t>
      </w:r>
    </w:p>
    <w:p>
      <w:pPr>
        <w:spacing w:before="137" w:beforeLines="50" w:after="137" w:afterLines="50" w:line="240" w:lineRule="auto"/>
        <w:jc w:val="both"/>
        <w:rPr>
          <w:lang w:val="en-US" w:eastAsia="zh-CN"/>
        </w:rPr>
      </w:pPr>
      <w:r>
        <w:rPr>
          <w:rFonts w:hint="eastAsia"/>
          <w:lang w:val="en-US" w:eastAsia="zh-CN"/>
        </w:rPr>
        <w:t>For multiple CCAs method,</w:t>
      </w:r>
      <w:r>
        <w:rPr>
          <w:rFonts w:eastAsia="Arial Unicode MS"/>
          <w:kern w:val="2"/>
          <w:lang w:eastAsia="zh-CN"/>
        </w:rPr>
        <w:t xml:space="preserve"> in each CCA time window</w:t>
      </w:r>
      <w:r>
        <w:rPr>
          <w:rFonts w:hint="eastAsia" w:eastAsia="Arial Unicode MS"/>
          <w:kern w:val="2"/>
          <w:lang w:val="en-US" w:eastAsia="zh-CN"/>
        </w:rPr>
        <w:t xml:space="preserve"> (e.g., idle period as in Figure5)</w:t>
      </w:r>
      <w:r>
        <w:rPr>
          <w:rFonts w:eastAsia="Arial Unicode MS"/>
          <w:kern w:val="2"/>
          <w:lang w:eastAsia="zh-CN"/>
        </w:rPr>
        <w:t xml:space="preserve">, there is more than one CCA time. </w:t>
      </w:r>
      <w:r>
        <w:rPr>
          <w:rFonts w:hint="eastAsia" w:eastAsia="Arial Unicode MS"/>
          <w:kern w:val="2"/>
          <w:lang w:val="en-US" w:eastAsia="zh-CN"/>
        </w:rPr>
        <w:t>Wherein, the starting position of CCA can be</w:t>
      </w:r>
      <w:r>
        <w:rPr>
          <w:rFonts w:eastAsia="Arial Unicode MS"/>
          <w:kern w:val="2"/>
          <w:lang w:eastAsia="zh-CN"/>
        </w:rPr>
        <w:t xml:space="preserve"> randomly selected in the pre</w:t>
      </w:r>
      <w:r>
        <w:rPr>
          <w:rFonts w:eastAsia="Arial Unicode MS"/>
          <w:kern w:val="2"/>
          <w:lang w:val="en-US" w:eastAsia="zh-CN"/>
        </w:rPr>
        <w:t>-</w:t>
      </w:r>
      <w:r>
        <w:rPr>
          <w:rFonts w:hint="eastAsia" w:eastAsia="Arial Unicode MS"/>
          <w:kern w:val="2"/>
          <w:lang w:val="en-US" w:eastAsia="zh-CN"/>
        </w:rPr>
        <w:t>allocated</w:t>
      </w:r>
      <w:r>
        <w:rPr>
          <w:rFonts w:eastAsia="Arial Unicode MS"/>
          <w:kern w:val="2"/>
          <w:lang w:eastAsia="zh-CN"/>
        </w:rPr>
        <w:t xml:space="preserve"> CCA detection time window</w:t>
      </w:r>
      <w:r>
        <w:rPr>
          <w:rFonts w:hint="eastAsia" w:eastAsia="Arial Unicode MS"/>
          <w:kern w:val="2"/>
          <w:lang w:val="en-US" w:eastAsia="zh-CN"/>
        </w:rPr>
        <w:t>(idle period)</w:t>
      </w:r>
      <w:r>
        <w:rPr>
          <w:rFonts w:eastAsia="Arial Unicode MS"/>
          <w:kern w:val="2"/>
          <w:lang w:eastAsia="zh-CN"/>
        </w:rPr>
        <w:t xml:space="preserve">. </w:t>
      </w:r>
      <w:r>
        <w:rPr>
          <w:rFonts w:eastAsia="Arial Unicode MS"/>
          <w:kern w:val="2"/>
          <w:lang w:val="en-US" w:eastAsia="zh-CN"/>
        </w:rPr>
        <w:t>I</w:t>
      </w:r>
      <w:r>
        <w:rPr>
          <w:rFonts w:eastAsia="Arial Unicode MS"/>
          <w:kern w:val="2"/>
          <w:lang w:eastAsia="zh-CN"/>
        </w:rPr>
        <w:t xml:space="preserve">f </w:t>
      </w:r>
      <w:r>
        <w:rPr>
          <w:rFonts w:hint="eastAsia" w:eastAsia="Arial Unicode MS"/>
          <w:kern w:val="2"/>
          <w:lang w:val="en-US" w:eastAsia="zh-CN"/>
        </w:rPr>
        <w:t>channel is said to busy on the first selected CCA position, then it can</w:t>
      </w:r>
      <w:r>
        <w:rPr>
          <w:rFonts w:eastAsia="Arial Unicode MS"/>
          <w:kern w:val="2"/>
          <w:lang w:eastAsia="zh-CN"/>
        </w:rPr>
        <w:t xml:space="preserve"> still randomly select</w:t>
      </w:r>
      <w:r>
        <w:rPr>
          <w:rFonts w:hint="eastAsia" w:eastAsia="Arial Unicode MS"/>
          <w:kern w:val="2"/>
          <w:lang w:val="en-US" w:eastAsia="zh-CN"/>
        </w:rPr>
        <w:t xml:space="preserve"> the next CCA detection position </w:t>
      </w:r>
      <w:r>
        <w:rPr>
          <w:rFonts w:eastAsia="Arial Unicode MS"/>
          <w:kern w:val="2"/>
          <w:lang w:eastAsia="zh-CN"/>
        </w:rPr>
        <w:t>in the rest of the CCA detection time window. And so on, until the CCA results indicate the channel is available, the UE would transmit UL data</w:t>
      </w:r>
      <w:r>
        <w:rPr>
          <w:rFonts w:eastAsia="Arial Unicode MS"/>
          <w:kern w:val="2"/>
          <w:lang w:val="en-US" w:eastAsia="zh-CN"/>
        </w:rPr>
        <w:t xml:space="preserve"> in the scheduled resources</w:t>
      </w:r>
      <w:r>
        <w:rPr>
          <w:rFonts w:hint="eastAsia" w:eastAsia="Arial Unicode MS"/>
          <w:kern w:val="2"/>
          <w:lang w:val="en-US" w:eastAsia="zh-CN"/>
        </w:rPr>
        <w:t xml:space="preserve"> or in the channel occupancy time</w:t>
      </w:r>
      <w:r>
        <w:rPr>
          <w:rFonts w:eastAsia="Arial Unicode MS"/>
          <w:kern w:val="2"/>
          <w:lang w:val="en-US" w:eastAsia="zh-CN"/>
        </w:rPr>
        <w:t>, as shown in Figure</w:t>
      </w:r>
      <w:r>
        <w:rPr>
          <w:rFonts w:hint="eastAsia" w:eastAsia="Arial Unicode MS"/>
          <w:kern w:val="2"/>
          <w:lang w:val="en-US" w:eastAsia="zh-CN"/>
        </w:rPr>
        <w:t>6</w:t>
      </w:r>
      <w:r>
        <w:rPr>
          <w:rFonts w:eastAsia="Arial Unicode MS"/>
          <w:kern w:val="2"/>
          <w:lang w:eastAsia="zh-CN"/>
        </w:rPr>
        <w:t>.</w:t>
      </w:r>
      <w:r>
        <w:rPr>
          <w:rFonts w:eastAsia="Arial Unicode MS"/>
          <w:kern w:val="2"/>
          <w:lang w:val="en-US" w:eastAsia="zh-CN"/>
        </w:rPr>
        <w:t xml:space="preserve"> </w:t>
      </w:r>
      <w:r>
        <w:rPr>
          <w:rFonts w:hint="eastAsia" w:eastAsia="Arial Unicode MS"/>
          <w:kern w:val="2"/>
          <w:lang w:val="en-US" w:eastAsia="zh-CN"/>
        </w:rPr>
        <w:t>Alternatively</w:t>
      </w:r>
      <w:r>
        <w:rPr>
          <w:rFonts w:eastAsia="Arial Unicode MS"/>
          <w:kern w:val="2"/>
          <w:lang w:eastAsia="zh-CN"/>
        </w:rPr>
        <w:t>, in a given CCA time window</w:t>
      </w:r>
      <w:r>
        <w:rPr>
          <w:rFonts w:hint="eastAsia" w:eastAsia="Arial Unicode MS"/>
          <w:kern w:val="2"/>
          <w:lang w:val="en-US" w:eastAsia="zh-CN"/>
        </w:rPr>
        <w:t xml:space="preserve"> (idle period)</w:t>
      </w:r>
      <w:r>
        <w:rPr>
          <w:rFonts w:eastAsia="Arial Unicode MS"/>
          <w:kern w:val="2"/>
          <w:lang w:eastAsia="zh-CN"/>
        </w:rPr>
        <w:t xml:space="preserve">, </w:t>
      </w:r>
      <w:r>
        <w:rPr>
          <w:rFonts w:hint="eastAsia" w:eastAsia="Arial Unicode MS"/>
          <w:kern w:val="2"/>
          <w:lang w:val="en-US" w:eastAsia="zh-CN"/>
        </w:rPr>
        <w:t xml:space="preserve">the starting position of CCA can be any time of CCA time window </w:t>
      </w:r>
      <w:r>
        <w:rPr>
          <w:rFonts w:eastAsia="Arial Unicode MS"/>
          <w:kern w:val="2"/>
          <w:lang w:val="en-US" w:eastAsia="zh-CN"/>
        </w:rPr>
        <w:t>as shown in Figure</w:t>
      </w:r>
      <w:r>
        <w:rPr>
          <w:rFonts w:hint="eastAsia" w:eastAsia="Arial Unicode MS"/>
          <w:kern w:val="2"/>
          <w:lang w:val="en-US" w:eastAsia="zh-CN"/>
        </w:rPr>
        <w:t>7</w:t>
      </w:r>
      <w:r>
        <w:rPr>
          <w:rFonts w:eastAsia="Arial Unicode MS"/>
          <w:kern w:val="2"/>
          <w:lang w:eastAsia="zh-CN"/>
        </w:rPr>
        <w:t>.</w:t>
      </w:r>
      <w:r>
        <w:rPr>
          <w:rFonts w:hint="eastAsia" w:eastAsia="Arial Unicode MS"/>
          <w:kern w:val="2"/>
          <w:lang w:val="en-US" w:eastAsia="zh-CN"/>
        </w:rPr>
        <w:t xml:space="preserve"> These two </w:t>
      </w:r>
      <w:r>
        <w:rPr>
          <w:rFonts w:eastAsia="Arial Unicode MS"/>
          <w:kern w:val="2"/>
          <w:lang w:val="en-US" w:eastAsia="zh-CN"/>
        </w:rPr>
        <w:t>method</w:t>
      </w:r>
      <w:r>
        <w:rPr>
          <w:rFonts w:hint="eastAsia" w:eastAsia="Arial Unicode MS"/>
          <w:kern w:val="2"/>
          <w:lang w:val="en-US" w:eastAsia="zh-CN"/>
        </w:rPr>
        <w:t>s</w:t>
      </w:r>
      <w:r>
        <w:rPr>
          <w:rFonts w:eastAsia="Arial Unicode MS"/>
          <w:kern w:val="2"/>
          <w:lang w:eastAsia="zh-CN"/>
        </w:rPr>
        <w:t xml:space="preserve"> can not only solve unfairness problem</w:t>
      </w:r>
      <w:r>
        <w:rPr>
          <w:rFonts w:eastAsia="Arial Unicode MS"/>
          <w:kern w:val="2"/>
          <w:lang w:val="en-US" w:eastAsia="zh-CN"/>
        </w:rPr>
        <w:t xml:space="preserve"> caused by </w:t>
      </w:r>
      <w:r>
        <w:rPr>
          <w:rFonts w:hint="eastAsia"/>
          <w:lang w:val="en-US" w:eastAsia="zh-CN"/>
        </w:rPr>
        <w:t>NR-U node timing differen</w:t>
      </w:r>
      <w:r>
        <w:rPr>
          <w:lang w:val="en-US" w:eastAsia="zh-CN"/>
        </w:rPr>
        <w:t xml:space="preserve">ce </w:t>
      </w:r>
      <w:r>
        <w:rPr>
          <w:rFonts w:eastAsia="Arial Unicode MS"/>
          <w:kern w:val="2"/>
          <w:lang w:eastAsia="zh-CN"/>
        </w:rPr>
        <w:t xml:space="preserve">but also increase the channel access opportunity of </w:t>
      </w:r>
      <w:r>
        <w:rPr>
          <w:rFonts w:eastAsia="Arial Unicode MS"/>
          <w:kern w:val="2"/>
          <w:lang w:val="en-US" w:eastAsia="zh-CN"/>
        </w:rPr>
        <w:t>NR-U nodes</w:t>
      </w:r>
      <w:r>
        <w:rPr>
          <w:rFonts w:eastAsia="Arial Unicode MS"/>
          <w:kern w:val="2"/>
          <w:lang w:eastAsia="zh-CN"/>
        </w:rPr>
        <w:t>.</w:t>
      </w:r>
    </w:p>
    <w:p>
      <w:pPr>
        <w:tabs>
          <w:tab w:val="left" w:pos="450"/>
          <w:tab w:val="left" w:pos="720"/>
        </w:tabs>
        <w:spacing w:before="120" w:after="120" w:line="240" w:lineRule="auto"/>
        <w:jc w:val="center"/>
      </w:pPr>
      <w:r>
        <w:object>
          <v:shape id="_x0000_i1029" o:spt="75" type="#_x0000_t75" style="height:77.5pt;width:293pt;" o:ole="t" filled="f" o:preferrelative="t" stroked="f" coordsize="21600,21600">
            <v:path/>
            <v:fill on="f" focussize="0,0"/>
            <v:stroke on="f" joinstyle="miter"/>
            <v:imagedata r:id="rId16" o:title=""/>
            <o:lock v:ext="edit" aspectratio="t"/>
            <w10:wrap type="none"/>
            <w10:anchorlock/>
          </v:shape>
          <o:OLEObject Type="Embed" ProgID="Visio.Drawing.11" ShapeID="_x0000_i1029" DrawAspect="Content" ObjectID="_1468075729" r:id="rId15">
            <o:LockedField>false</o:LockedField>
          </o:OLEObject>
        </w:object>
      </w:r>
    </w:p>
    <w:p>
      <w:pPr>
        <w:spacing w:before="120" w:after="120" w:line="240" w:lineRule="auto"/>
        <w:jc w:val="center"/>
        <w:rPr>
          <w:rFonts w:eastAsia="宋体"/>
          <w:b/>
          <w:bCs/>
          <w:lang w:val="en-US" w:eastAsia="zh-CN"/>
        </w:rPr>
      </w:pPr>
      <w:r>
        <w:rPr>
          <w:rFonts w:eastAsia="宋体"/>
          <w:b/>
          <w:bCs/>
          <w:lang w:val="en-US" w:eastAsia="zh-CN"/>
        </w:rPr>
        <w:t>Figure</w:t>
      </w:r>
      <w:r>
        <w:rPr>
          <w:rFonts w:hint="eastAsia" w:eastAsia="宋体"/>
          <w:b/>
          <w:bCs/>
          <w:lang w:val="en-US" w:eastAsia="zh-CN"/>
        </w:rPr>
        <w:t>6.</w:t>
      </w:r>
      <w:r>
        <w:rPr>
          <w:rFonts w:eastAsia="宋体"/>
          <w:b/>
          <w:bCs/>
          <w:lang w:val="en-US" w:eastAsia="zh-CN"/>
        </w:rPr>
        <w:t xml:space="preserve"> </w:t>
      </w:r>
      <w:r>
        <w:rPr>
          <w:rFonts w:hint="eastAsia" w:eastAsia="宋体"/>
          <w:b/>
          <w:bCs/>
          <w:lang w:val="en-US" w:eastAsia="zh-CN"/>
        </w:rPr>
        <w:t xml:space="preserve">Randomly selection the starting position of CCA in the pre-allocated CCA time window </w:t>
      </w:r>
      <w:r>
        <w:rPr>
          <w:rFonts w:eastAsia="宋体"/>
          <w:b/>
          <w:bCs/>
          <w:lang w:val="en-US" w:eastAsia="zh-CN"/>
        </w:rPr>
        <w:t>for FBE</w:t>
      </w:r>
    </w:p>
    <w:p>
      <w:pPr>
        <w:spacing w:before="120" w:after="120" w:line="240" w:lineRule="auto"/>
        <w:jc w:val="center"/>
        <w:rPr>
          <w:rFonts w:eastAsia="宋体"/>
          <w:lang w:val="en-US" w:eastAsia="zh-CN"/>
        </w:rPr>
      </w:pPr>
    </w:p>
    <w:p>
      <w:pPr>
        <w:spacing w:before="120" w:after="120" w:line="240" w:lineRule="auto"/>
        <w:jc w:val="center"/>
        <w:rPr>
          <w:rFonts w:eastAsia="宋体"/>
          <w:lang w:val="en-US" w:eastAsia="zh-CN"/>
        </w:rPr>
      </w:pPr>
      <w:r>
        <w:object>
          <v:shape id="_x0000_i1030" o:spt="75" type="#_x0000_t75" style="height:93.5pt;width:297.5pt;" o:ole="t" filled="f" o:preferrelative="t" stroked="f" coordsize="21600,21600">
            <v:path/>
            <v:fill on="f" focussize="0,0"/>
            <v:stroke on="f" joinstyle="miter"/>
            <v:imagedata r:id="rId18" o:title=""/>
            <o:lock v:ext="edit" aspectratio="t"/>
            <w10:wrap type="none"/>
            <w10:anchorlock/>
          </v:shape>
          <o:OLEObject Type="Embed" ProgID="Visio.Drawing.11" ShapeID="_x0000_i1030" DrawAspect="Content" ObjectID="_1468075730" r:id="rId17">
            <o:LockedField>false</o:LockedField>
          </o:OLEObject>
        </w:object>
      </w:r>
    </w:p>
    <w:p>
      <w:pPr>
        <w:spacing w:before="120" w:after="120" w:line="240" w:lineRule="auto"/>
        <w:jc w:val="center"/>
        <w:rPr>
          <w:rFonts w:eastAsia="宋体"/>
          <w:b/>
          <w:bCs/>
          <w:lang w:val="en-US" w:eastAsia="zh-CN"/>
        </w:rPr>
      </w:pPr>
      <w:r>
        <w:rPr>
          <w:rFonts w:eastAsia="宋体"/>
          <w:b/>
          <w:bCs/>
          <w:lang w:val="en-US" w:eastAsia="zh-CN"/>
        </w:rPr>
        <w:t>Figure</w:t>
      </w:r>
      <w:r>
        <w:rPr>
          <w:rFonts w:hint="eastAsia" w:eastAsia="宋体"/>
          <w:b/>
          <w:bCs/>
          <w:lang w:val="en-US" w:eastAsia="zh-CN"/>
        </w:rPr>
        <w:t>7.</w:t>
      </w:r>
      <w:r>
        <w:rPr>
          <w:rFonts w:eastAsia="宋体"/>
          <w:b/>
          <w:bCs/>
          <w:lang w:val="en-US" w:eastAsia="zh-CN"/>
        </w:rPr>
        <w:t xml:space="preserve"> </w:t>
      </w:r>
      <w:r>
        <w:rPr>
          <w:rFonts w:hint="eastAsia" w:eastAsia="宋体"/>
          <w:b/>
          <w:bCs/>
          <w:lang w:val="en-US" w:eastAsia="zh-CN"/>
        </w:rPr>
        <w:t xml:space="preserve">Randomly selection the starting position of CCA in theCCA time window </w:t>
      </w:r>
      <w:r>
        <w:rPr>
          <w:rFonts w:eastAsia="宋体"/>
          <w:b/>
          <w:bCs/>
          <w:lang w:val="en-US" w:eastAsia="zh-CN"/>
        </w:rPr>
        <w:t>for FBE</w:t>
      </w:r>
    </w:p>
    <w:p>
      <w:pPr>
        <w:spacing w:before="137" w:beforeLines="50" w:after="137" w:afterLines="50" w:line="240" w:lineRule="auto"/>
        <w:jc w:val="both"/>
        <w:rPr>
          <w:rFonts w:eastAsia="宋体"/>
          <w:lang w:val="en-US" w:eastAsia="zh-CN"/>
        </w:rPr>
      </w:pPr>
      <w:r>
        <w:rPr>
          <w:rFonts w:eastAsia="宋体"/>
          <w:lang w:eastAsia="zh-CN"/>
        </w:rPr>
        <w:t xml:space="preserve">Evaluation results are provided for an indoor deployment of </w:t>
      </w:r>
      <w:r>
        <w:rPr>
          <w:rFonts w:hint="eastAsia" w:eastAsia="宋体"/>
          <w:lang w:val="en-US" w:eastAsia="zh-CN"/>
        </w:rPr>
        <w:t>NR-U</w:t>
      </w:r>
      <w:r>
        <w:rPr>
          <w:rFonts w:hint="eastAsia" w:eastAsia="宋体"/>
          <w:lang w:eastAsia="zh-CN"/>
        </w:rPr>
        <w:t>+</w:t>
      </w:r>
      <w:r>
        <w:rPr>
          <w:rFonts w:hint="eastAsia" w:eastAsia="宋体"/>
          <w:lang w:val="en-US" w:eastAsia="zh-CN"/>
        </w:rPr>
        <w:t>NR-U</w:t>
      </w:r>
      <w:r>
        <w:rPr>
          <w:rFonts w:eastAsia="宋体"/>
          <w:lang w:eastAsia="zh-CN"/>
        </w:rPr>
        <w:t xml:space="preserve"> with FTP traffic</w:t>
      </w:r>
      <w:r>
        <w:rPr>
          <w:rFonts w:hint="eastAsia" w:eastAsia="宋体"/>
          <w:lang w:val="en-US" w:eastAsia="zh-CN"/>
        </w:rPr>
        <w:t xml:space="preserve"> and </w:t>
      </w:r>
      <w:r>
        <w:rPr>
          <w:rFonts w:hint="eastAsia"/>
          <w:lang w:val="en-US" w:eastAsia="zh-CN"/>
        </w:rPr>
        <w:t>compare the fairness performance between enhanced Cat-2 LBT such as multiple CCA opportunity with Cat-2 LBT through simulations.</w:t>
      </w:r>
    </w:p>
    <w:p>
      <w:pPr>
        <w:spacing w:before="120" w:after="120" w:line="240" w:lineRule="auto"/>
        <w:jc w:val="center"/>
        <w:rPr>
          <w:rFonts w:eastAsia="宋体"/>
          <w:b/>
          <w:bCs/>
          <w:lang w:eastAsia="zh-CN"/>
        </w:rPr>
      </w:pPr>
      <w:r>
        <w:rPr>
          <w:rFonts w:hint="eastAsia" w:eastAsia="宋体"/>
          <w:b/>
          <w:bCs/>
          <w:lang w:eastAsia="zh-CN"/>
        </w:rPr>
        <w:t>Table</w:t>
      </w:r>
      <w:r>
        <w:rPr>
          <w:rFonts w:hint="eastAsia" w:eastAsia="宋体"/>
          <w:b/>
          <w:bCs/>
          <w:lang w:val="en-US" w:eastAsia="zh-CN"/>
        </w:rPr>
        <w:t xml:space="preserve">1. </w:t>
      </w:r>
      <w:r>
        <w:rPr>
          <w:rFonts w:eastAsia="宋体"/>
          <w:b/>
          <w:bCs/>
          <w:lang w:eastAsia="zh-CN"/>
        </w:rPr>
        <w:t>F</w:t>
      </w:r>
      <w:r>
        <w:rPr>
          <w:rFonts w:hint="eastAsia" w:eastAsia="宋体"/>
          <w:b/>
          <w:bCs/>
          <w:lang w:eastAsia="zh-CN"/>
        </w:rPr>
        <w:t xml:space="preserve">airness </w:t>
      </w:r>
      <w:r>
        <w:rPr>
          <w:rFonts w:eastAsia="宋体"/>
          <w:b/>
          <w:bCs/>
          <w:lang w:eastAsia="zh-CN"/>
        </w:rPr>
        <w:t>comparison</w:t>
      </w:r>
      <w:r>
        <w:rPr>
          <w:rFonts w:hint="eastAsia" w:eastAsia="宋体"/>
          <w:b/>
          <w:bCs/>
          <w:lang w:eastAsia="zh-CN"/>
        </w:rPr>
        <w:t xml:space="preserve"> </w:t>
      </w:r>
      <w:r>
        <w:rPr>
          <w:rFonts w:hint="eastAsia" w:eastAsia="宋体"/>
          <w:b/>
          <w:bCs/>
          <w:lang w:val="en-US" w:eastAsia="zh-CN"/>
        </w:rPr>
        <w:t xml:space="preserve">between enhanced Cat-2 LBT </w:t>
      </w:r>
      <w:r>
        <w:rPr>
          <w:rFonts w:eastAsia="宋体"/>
          <w:b/>
          <w:bCs/>
          <w:lang w:val="en-US" w:eastAsia="zh-CN"/>
        </w:rPr>
        <w:t>and</w:t>
      </w:r>
      <w:r>
        <w:rPr>
          <w:rFonts w:hint="eastAsia" w:eastAsia="宋体"/>
          <w:b/>
          <w:bCs/>
          <w:lang w:val="en-US" w:eastAsia="zh-CN"/>
        </w:rPr>
        <w:t xml:space="preserve"> Cat-2 LBT</w:t>
      </w:r>
    </w:p>
    <w:tbl>
      <w:tblPr>
        <w:tblStyle w:val="33"/>
        <w:tblW w:w="7857" w:type="dxa"/>
        <w:jc w:val="center"/>
        <w:tblInd w:w="-15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77"/>
        <w:gridCol w:w="720"/>
        <w:gridCol w:w="1360"/>
        <w:gridCol w:w="1260"/>
        <w:gridCol w:w="1440"/>
        <w:gridCol w:w="1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097" w:type="dxa"/>
            <w:gridSpan w:val="2"/>
            <w:vMerge w:val="restart"/>
            <w:vAlign w:val="center"/>
          </w:tcPr>
          <w:p>
            <w:pPr>
              <w:snapToGrid w:val="0"/>
              <w:spacing w:after="0" w:line="240" w:lineRule="auto"/>
              <w:jc w:val="center"/>
              <w:rPr>
                <w:rFonts w:eastAsia="宋体"/>
              </w:rPr>
            </w:pPr>
            <w:r>
              <w:rPr>
                <w:rFonts w:eastAsia="宋体"/>
                <w:b/>
                <w:lang w:val="en-US" w:eastAsia="zh-CN"/>
              </w:rPr>
              <w:t>Reported parameters</w:t>
            </w:r>
          </w:p>
        </w:tc>
        <w:tc>
          <w:tcPr>
            <w:tcW w:w="2620" w:type="dxa"/>
            <w:gridSpan w:val="2"/>
            <w:vAlign w:val="center"/>
          </w:tcPr>
          <w:p>
            <w:pPr>
              <w:snapToGrid w:val="0"/>
              <w:spacing w:after="0" w:line="240" w:lineRule="auto"/>
              <w:jc w:val="center"/>
              <w:rPr>
                <w:rFonts w:eastAsia="宋体"/>
                <w:b/>
                <w:bCs/>
                <w:lang w:val="en-US" w:eastAsia="zh-CN"/>
              </w:rPr>
            </w:pPr>
            <w:r>
              <w:rPr>
                <w:rFonts w:eastAsia="宋体"/>
                <w:iCs/>
                <w:lang w:val="en-US" w:eastAsia="zh-CN"/>
              </w:rPr>
              <w:t>Cat 2 LBT</w:t>
            </w:r>
          </w:p>
        </w:tc>
        <w:tc>
          <w:tcPr>
            <w:tcW w:w="3140" w:type="dxa"/>
            <w:gridSpan w:val="2"/>
            <w:vAlign w:val="center"/>
          </w:tcPr>
          <w:p>
            <w:pPr>
              <w:snapToGrid w:val="0"/>
              <w:spacing w:after="0" w:line="240" w:lineRule="auto"/>
              <w:jc w:val="center"/>
              <w:rPr>
                <w:b/>
                <w:bCs/>
                <w:lang w:val="en-US" w:eastAsia="zh-CN"/>
              </w:rPr>
            </w:pPr>
            <w:r>
              <w:rPr>
                <w:rFonts w:eastAsia="宋体"/>
                <w:iCs/>
                <w:lang w:val="en-US" w:eastAsia="zh-CN"/>
              </w:rPr>
              <w:t>Enhanced Cat 2 LBT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 w:hRule="atLeast"/>
          <w:jc w:val="center"/>
        </w:trPr>
        <w:tc>
          <w:tcPr>
            <w:tcW w:w="2097" w:type="dxa"/>
            <w:gridSpan w:val="2"/>
            <w:vMerge w:val="continue"/>
            <w:vAlign w:val="center"/>
          </w:tcPr>
          <w:p>
            <w:pPr>
              <w:snapToGrid w:val="0"/>
              <w:spacing w:after="0" w:line="240" w:lineRule="auto"/>
              <w:jc w:val="center"/>
            </w:pPr>
          </w:p>
        </w:tc>
        <w:tc>
          <w:tcPr>
            <w:tcW w:w="136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A</w:t>
            </w:r>
          </w:p>
        </w:tc>
        <w:tc>
          <w:tcPr>
            <w:tcW w:w="126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B</w:t>
            </w:r>
          </w:p>
        </w:tc>
        <w:tc>
          <w:tcPr>
            <w:tcW w:w="144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A</w:t>
            </w:r>
          </w:p>
        </w:tc>
        <w:tc>
          <w:tcPr>
            <w:tcW w:w="1700" w:type="dxa"/>
            <w:vAlign w:val="center"/>
          </w:tcPr>
          <w:p>
            <w:pPr>
              <w:pStyle w:val="24"/>
              <w:snapToGrid w:val="0"/>
              <w:spacing w:before="0" w:beforeAutospacing="0" w:after="0" w:afterAutospacing="0" w:line="240" w:lineRule="auto"/>
              <w:jc w:val="center"/>
              <w:rPr>
                <w:rFonts w:eastAsia="宋体"/>
                <w:sz w:val="20"/>
                <w:szCs w:val="20"/>
              </w:rPr>
            </w:pPr>
            <w:r>
              <w:rPr>
                <w:sz w:val="20"/>
                <w:szCs w:val="20"/>
              </w:rPr>
              <w:t>Opt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77" w:type="dxa"/>
            <w:vMerge w:val="restart"/>
            <w:vAlign w:val="center"/>
          </w:tcPr>
          <w:p>
            <w:pPr>
              <w:pStyle w:val="24"/>
              <w:snapToGrid w:val="0"/>
              <w:spacing w:before="0" w:beforeAutospacing="0" w:after="0" w:afterAutospacing="0" w:line="240" w:lineRule="auto"/>
              <w:jc w:val="center"/>
              <w:rPr>
                <w:rFonts w:eastAsia="宋体"/>
                <w:sz w:val="20"/>
                <w:szCs w:val="20"/>
              </w:rPr>
            </w:pPr>
            <w:r>
              <w:rPr>
                <w:rFonts w:eastAsia="宋体"/>
                <w:b/>
                <w:sz w:val="20"/>
                <w:szCs w:val="20"/>
              </w:rPr>
              <w:t xml:space="preserve">DL:   </w:t>
            </w:r>
            <w:r>
              <w:rPr>
                <w:rFonts w:eastAsia="宋体"/>
                <w:sz w:val="20"/>
                <w:szCs w:val="20"/>
              </w:rPr>
              <w:t>UPT CDF [Mbps]</w:t>
            </w: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w:t>
            </w:r>
          </w:p>
        </w:tc>
        <w:tc>
          <w:tcPr>
            <w:tcW w:w="1360" w:type="dxa"/>
            <w:vAlign w:val="center"/>
          </w:tcPr>
          <w:p>
            <w:pPr>
              <w:snapToGrid w:val="0"/>
              <w:spacing w:after="0" w:line="240" w:lineRule="auto"/>
              <w:jc w:val="center"/>
              <w:rPr>
                <w:lang w:val="en-US" w:eastAsia="zh-CN"/>
              </w:rPr>
            </w:pPr>
            <w:r>
              <w:rPr>
                <w:lang w:val="en-US" w:eastAsia="zh-CN"/>
              </w:rPr>
              <w:t>33.9</w:t>
            </w:r>
          </w:p>
        </w:tc>
        <w:tc>
          <w:tcPr>
            <w:tcW w:w="1260" w:type="dxa"/>
            <w:vAlign w:val="center"/>
          </w:tcPr>
          <w:p>
            <w:pPr>
              <w:snapToGrid w:val="0"/>
              <w:spacing w:after="0" w:line="240" w:lineRule="auto"/>
              <w:jc w:val="center"/>
              <w:rPr>
                <w:lang w:val="en-US" w:eastAsia="zh-CN"/>
              </w:rPr>
            </w:pPr>
            <w:r>
              <w:rPr>
                <w:lang w:val="en-US" w:eastAsia="zh-CN"/>
              </w:rPr>
              <w:t>18.0</w:t>
            </w:r>
          </w:p>
        </w:tc>
        <w:tc>
          <w:tcPr>
            <w:tcW w:w="1440" w:type="dxa"/>
            <w:vAlign w:val="center"/>
          </w:tcPr>
          <w:p>
            <w:pPr>
              <w:snapToGrid w:val="0"/>
              <w:spacing w:after="0" w:line="240" w:lineRule="auto"/>
              <w:jc w:val="center"/>
              <w:rPr>
                <w:lang w:val="en-US" w:eastAsia="zh-CN"/>
              </w:rPr>
            </w:pPr>
            <w:r>
              <w:rPr>
                <w:lang w:val="en-US" w:eastAsia="zh-CN"/>
              </w:rPr>
              <w:t>22.9</w:t>
            </w:r>
          </w:p>
        </w:tc>
        <w:tc>
          <w:tcPr>
            <w:tcW w:w="1700" w:type="dxa"/>
            <w:vAlign w:val="center"/>
          </w:tcPr>
          <w:p>
            <w:pPr>
              <w:snapToGrid w:val="0"/>
              <w:spacing w:after="0" w:line="240" w:lineRule="auto"/>
              <w:jc w:val="center"/>
              <w:rPr>
                <w:lang w:val="en-US" w:eastAsia="zh-CN"/>
              </w:rPr>
            </w:pPr>
            <w:r>
              <w:rPr>
                <w:lang w:val="en-US" w:eastAsia="zh-CN"/>
              </w:rPr>
              <w:t>29.7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 w:hRule="atLeast"/>
          <w:jc w:val="center"/>
        </w:trPr>
        <w:tc>
          <w:tcPr>
            <w:tcW w:w="1377"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50%</w:t>
            </w:r>
          </w:p>
        </w:tc>
        <w:tc>
          <w:tcPr>
            <w:tcW w:w="1360" w:type="dxa"/>
            <w:vAlign w:val="center"/>
          </w:tcPr>
          <w:p>
            <w:pPr>
              <w:snapToGrid w:val="0"/>
              <w:spacing w:after="0" w:line="240" w:lineRule="auto"/>
              <w:jc w:val="center"/>
              <w:rPr>
                <w:lang w:val="en-US" w:eastAsia="zh-CN"/>
              </w:rPr>
            </w:pPr>
            <w:r>
              <w:rPr>
                <w:lang w:val="en-US" w:eastAsia="zh-CN"/>
              </w:rPr>
              <w:t>82.0</w:t>
            </w:r>
          </w:p>
        </w:tc>
        <w:tc>
          <w:tcPr>
            <w:tcW w:w="1260" w:type="dxa"/>
            <w:vAlign w:val="center"/>
          </w:tcPr>
          <w:p>
            <w:pPr>
              <w:snapToGrid w:val="0"/>
              <w:spacing w:after="0" w:line="240" w:lineRule="auto"/>
              <w:jc w:val="center"/>
              <w:rPr>
                <w:lang w:val="en-US" w:eastAsia="zh-CN"/>
              </w:rPr>
            </w:pPr>
            <w:r>
              <w:rPr>
                <w:lang w:val="en-US" w:eastAsia="zh-CN"/>
              </w:rPr>
              <w:t>74.2</w:t>
            </w:r>
          </w:p>
        </w:tc>
        <w:tc>
          <w:tcPr>
            <w:tcW w:w="1440" w:type="dxa"/>
            <w:vAlign w:val="center"/>
          </w:tcPr>
          <w:p>
            <w:pPr>
              <w:snapToGrid w:val="0"/>
              <w:spacing w:after="0" w:line="240" w:lineRule="auto"/>
              <w:jc w:val="center"/>
              <w:rPr>
                <w:lang w:val="en-US" w:eastAsia="zh-CN"/>
              </w:rPr>
            </w:pPr>
            <w:r>
              <w:rPr>
                <w:lang w:val="en-US" w:eastAsia="zh-CN"/>
              </w:rPr>
              <w:t>63.2</w:t>
            </w:r>
          </w:p>
        </w:tc>
        <w:tc>
          <w:tcPr>
            <w:tcW w:w="1700" w:type="dxa"/>
            <w:vAlign w:val="center"/>
          </w:tcPr>
          <w:p>
            <w:pPr>
              <w:snapToGrid w:val="0"/>
              <w:spacing w:after="0" w:line="240" w:lineRule="auto"/>
              <w:jc w:val="center"/>
              <w:rPr>
                <w:lang w:val="en-US" w:eastAsia="zh-CN"/>
              </w:rPr>
            </w:pPr>
            <w:r>
              <w:rPr>
                <w:lang w:val="en-US" w:eastAsia="zh-CN"/>
              </w:rPr>
              <w:t>81.0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77"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95%</w:t>
            </w:r>
          </w:p>
        </w:tc>
        <w:tc>
          <w:tcPr>
            <w:tcW w:w="1360" w:type="dxa"/>
            <w:vAlign w:val="center"/>
          </w:tcPr>
          <w:p>
            <w:pPr>
              <w:snapToGrid w:val="0"/>
              <w:spacing w:after="0" w:line="240" w:lineRule="auto"/>
              <w:jc w:val="center"/>
              <w:rPr>
                <w:lang w:val="en-US" w:eastAsia="zh-CN"/>
              </w:rPr>
            </w:pPr>
            <w:r>
              <w:rPr>
                <w:lang w:val="en-US" w:eastAsia="zh-CN"/>
              </w:rPr>
              <w:t>141.8</w:t>
            </w:r>
          </w:p>
        </w:tc>
        <w:tc>
          <w:tcPr>
            <w:tcW w:w="1260" w:type="dxa"/>
            <w:vAlign w:val="center"/>
          </w:tcPr>
          <w:p>
            <w:pPr>
              <w:snapToGrid w:val="0"/>
              <w:spacing w:after="0" w:line="240" w:lineRule="auto"/>
              <w:jc w:val="center"/>
              <w:rPr>
                <w:lang w:val="en-US" w:eastAsia="zh-CN"/>
              </w:rPr>
            </w:pPr>
            <w:r>
              <w:rPr>
                <w:lang w:val="en-US" w:eastAsia="zh-CN"/>
              </w:rPr>
              <w:t>129.4</w:t>
            </w:r>
          </w:p>
        </w:tc>
        <w:tc>
          <w:tcPr>
            <w:tcW w:w="1440" w:type="dxa"/>
            <w:vAlign w:val="center"/>
          </w:tcPr>
          <w:p>
            <w:pPr>
              <w:snapToGrid w:val="0"/>
              <w:spacing w:after="0" w:line="240" w:lineRule="auto"/>
              <w:jc w:val="center"/>
              <w:rPr>
                <w:lang w:val="en-US" w:eastAsia="zh-CN"/>
              </w:rPr>
            </w:pPr>
            <w:r>
              <w:rPr>
                <w:lang w:val="en-US" w:eastAsia="zh-CN"/>
              </w:rPr>
              <w:t>131.3</w:t>
            </w:r>
          </w:p>
        </w:tc>
        <w:tc>
          <w:tcPr>
            <w:tcW w:w="1700" w:type="dxa"/>
            <w:vAlign w:val="center"/>
          </w:tcPr>
          <w:p>
            <w:pPr>
              <w:snapToGrid w:val="0"/>
              <w:spacing w:after="0" w:line="240" w:lineRule="auto"/>
              <w:jc w:val="center"/>
              <w:rPr>
                <w:lang w:val="en-US" w:eastAsia="zh-CN"/>
              </w:rPr>
            </w:pPr>
            <w:r>
              <w:rPr>
                <w:lang w:val="en-US" w:eastAsia="zh-CN"/>
              </w:rPr>
              <w:t>134.3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77"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Mean</w:t>
            </w:r>
          </w:p>
        </w:tc>
        <w:tc>
          <w:tcPr>
            <w:tcW w:w="1360" w:type="dxa"/>
            <w:vAlign w:val="center"/>
          </w:tcPr>
          <w:p>
            <w:pPr>
              <w:snapToGrid w:val="0"/>
              <w:spacing w:after="0" w:line="240" w:lineRule="auto"/>
              <w:jc w:val="center"/>
              <w:rPr>
                <w:lang w:val="en-US" w:eastAsia="zh-CN"/>
              </w:rPr>
            </w:pPr>
            <w:r>
              <w:rPr>
                <w:lang w:val="en-US" w:eastAsia="zh-CN"/>
              </w:rPr>
              <w:t>96.3</w:t>
            </w:r>
          </w:p>
        </w:tc>
        <w:tc>
          <w:tcPr>
            <w:tcW w:w="1260" w:type="dxa"/>
            <w:vAlign w:val="center"/>
          </w:tcPr>
          <w:p>
            <w:pPr>
              <w:snapToGrid w:val="0"/>
              <w:spacing w:after="0" w:line="240" w:lineRule="auto"/>
              <w:jc w:val="center"/>
              <w:rPr>
                <w:lang w:val="en-US" w:eastAsia="zh-CN"/>
              </w:rPr>
            </w:pPr>
            <w:r>
              <w:rPr>
                <w:lang w:val="en-US" w:eastAsia="zh-CN"/>
              </w:rPr>
              <w:t>74.6</w:t>
            </w:r>
          </w:p>
        </w:tc>
        <w:tc>
          <w:tcPr>
            <w:tcW w:w="1440" w:type="dxa"/>
            <w:vAlign w:val="center"/>
          </w:tcPr>
          <w:p>
            <w:pPr>
              <w:snapToGrid w:val="0"/>
              <w:spacing w:after="0" w:line="240" w:lineRule="auto"/>
              <w:jc w:val="center"/>
              <w:rPr>
                <w:lang w:val="en-US" w:eastAsia="zh-CN"/>
              </w:rPr>
            </w:pPr>
            <w:r>
              <w:rPr>
                <w:lang w:val="en-US" w:eastAsia="zh-CN"/>
              </w:rPr>
              <w:t>81.3</w:t>
            </w:r>
          </w:p>
        </w:tc>
        <w:tc>
          <w:tcPr>
            <w:tcW w:w="1700" w:type="dxa"/>
            <w:vAlign w:val="center"/>
          </w:tcPr>
          <w:p>
            <w:pPr>
              <w:snapToGrid w:val="0"/>
              <w:spacing w:after="0" w:line="240" w:lineRule="auto"/>
              <w:jc w:val="center"/>
              <w:rPr>
                <w:lang w:val="en-US" w:eastAsia="zh-CN"/>
              </w:rPr>
            </w:pPr>
            <w:r>
              <w:rPr>
                <w:lang w:val="en-US" w:eastAsia="zh-CN"/>
              </w:rPr>
              <w:t>84.4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77" w:type="dxa"/>
            <w:vMerge w:val="restart"/>
            <w:vAlign w:val="center"/>
          </w:tcPr>
          <w:p>
            <w:pPr>
              <w:pStyle w:val="24"/>
              <w:snapToGrid w:val="0"/>
              <w:spacing w:before="0" w:beforeAutospacing="0" w:after="0" w:afterAutospacing="0" w:line="240" w:lineRule="auto"/>
              <w:jc w:val="center"/>
              <w:rPr>
                <w:rFonts w:eastAsia="宋体"/>
                <w:sz w:val="20"/>
                <w:szCs w:val="20"/>
              </w:rPr>
            </w:pPr>
            <w:r>
              <w:rPr>
                <w:rFonts w:eastAsia="宋体"/>
                <w:b/>
                <w:sz w:val="20"/>
                <w:szCs w:val="20"/>
              </w:rPr>
              <w:t xml:space="preserve">DL:  </w:t>
            </w:r>
            <w:r>
              <w:rPr>
                <w:rFonts w:eastAsia="宋体"/>
                <w:sz w:val="20"/>
                <w:szCs w:val="20"/>
              </w:rPr>
              <w:t>Delay CDF [s]</w:t>
            </w: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w:t>
            </w:r>
          </w:p>
        </w:tc>
        <w:tc>
          <w:tcPr>
            <w:tcW w:w="1360" w:type="dxa"/>
            <w:vAlign w:val="center"/>
          </w:tcPr>
          <w:p>
            <w:pPr>
              <w:snapToGrid w:val="0"/>
              <w:spacing w:after="0" w:line="240" w:lineRule="auto"/>
              <w:jc w:val="center"/>
              <w:rPr>
                <w:lang w:val="en-US" w:eastAsia="zh-CN"/>
              </w:rPr>
            </w:pPr>
            <w:r>
              <w:rPr>
                <w:lang w:val="en-US" w:eastAsia="zh-CN"/>
              </w:rPr>
              <w:t>0.019</w:t>
            </w:r>
          </w:p>
        </w:tc>
        <w:tc>
          <w:tcPr>
            <w:tcW w:w="1260" w:type="dxa"/>
            <w:vAlign w:val="center"/>
          </w:tcPr>
          <w:p>
            <w:pPr>
              <w:snapToGrid w:val="0"/>
              <w:spacing w:after="0" w:line="240" w:lineRule="auto"/>
              <w:jc w:val="center"/>
              <w:rPr>
                <w:lang w:val="en-US" w:eastAsia="zh-CN"/>
              </w:rPr>
            </w:pPr>
            <w:r>
              <w:rPr>
                <w:lang w:val="en-US" w:eastAsia="zh-CN"/>
              </w:rPr>
              <w:t>0.020</w:t>
            </w:r>
          </w:p>
        </w:tc>
        <w:tc>
          <w:tcPr>
            <w:tcW w:w="1440" w:type="dxa"/>
            <w:vAlign w:val="center"/>
          </w:tcPr>
          <w:p>
            <w:pPr>
              <w:snapToGrid w:val="0"/>
              <w:spacing w:after="0" w:line="240" w:lineRule="auto"/>
              <w:jc w:val="center"/>
              <w:rPr>
                <w:lang w:val="en-US" w:eastAsia="zh-CN"/>
              </w:rPr>
            </w:pPr>
            <w:r>
              <w:rPr>
                <w:lang w:val="en-US" w:eastAsia="zh-CN"/>
              </w:rPr>
              <w:t>0.020</w:t>
            </w:r>
          </w:p>
        </w:tc>
        <w:tc>
          <w:tcPr>
            <w:tcW w:w="1700" w:type="dxa"/>
            <w:vAlign w:val="center"/>
          </w:tcPr>
          <w:p>
            <w:pPr>
              <w:snapToGrid w:val="0"/>
              <w:spacing w:after="0" w:line="240" w:lineRule="auto"/>
              <w:jc w:val="center"/>
              <w:rPr>
                <w:lang w:val="en-US" w:eastAsia="zh-CN"/>
              </w:rPr>
            </w:pPr>
            <w:r>
              <w:rPr>
                <w:lang w:val="en-US" w:eastAsia="zh-CN"/>
              </w:rPr>
              <w:t>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77"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50%</w:t>
            </w:r>
          </w:p>
        </w:tc>
        <w:tc>
          <w:tcPr>
            <w:tcW w:w="1360" w:type="dxa"/>
            <w:vAlign w:val="center"/>
          </w:tcPr>
          <w:p>
            <w:pPr>
              <w:snapToGrid w:val="0"/>
              <w:spacing w:after="0" w:line="240" w:lineRule="auto"/>
              <w:jc w:val="center"/>
              <w:rPr>
                <w:lang w:val="en-US" w:eastAsia="zh-CN"/>
              </w:rPr>
            </w:pPr>
            <w:r>
              <w:rPr>
                <w:lang w:val="en-US" w:eastAsia="zh-CN"/>
              </w:rPr>
              <w:t>0.041</w:t>
            </w:r>
          </w:p>
        </w:tc>
        <w:tc>
          <w:tcPr>
            <w:tcW w:w="1260" w:type="dxa"/>
            <w:vAlign w:val="center"/>
          </w:tcPr>
          <w:p>
            <w:pPr>
              <w:snapToGrid w:val="0"/>
              <w:spacing w:after="0" w:line="240" w:lineRule="auto"/>
              <w:jc w:val="center"/>
              <w:rPr>
                <w:lang w:val="en-US" w:eastAsia="zh-CN"/>
              </w:rPr>
            </w:pPr>
            <w:r>
              <w:rPr>
                <w:lang w:val="en-US" w:eastAsia="zh-CN"/>
              </w:rPr>
              <w:t>0.049</w:t>
            </w:r>
          </w:p>
        </w:tc>
        <w:tc>
          <w:tcPr>
            <w:tcW w:w="1440" w:type="dxa"/>
            <w:vAlign w:val="center"/>
          </w:tcPr>
          <w:p>
            <w:pPr>
              <w:snapToGrid w:val="0"/>
              <w:spacing w:after="0" w:line="240" w:lineRule="auto"/>
              <w:jc w:val="center"/>
              <w:rPr>
                <w:lang w:val="en-US" w:eastAsia="zh-CN"/>
              </w:rPr>
            </w:pPr>
            <w:r>
              <w:rPr>
                <w:lang w:val="en-US" w:eastAsia="zh-CN"/>
              </w:rPr>
              <w:t>0.041</w:t>
            </w:r>
          </w:p>
        </w:tc>
        <w:tc>
          <w:tcPr>
            <w:tcW w:w="1700" w:type="dxa"/>
            <w:vAlign w:val="center"/>
          </w:tcPr>
          <w:p>
            <w:pPr>
              <w:snapToGrid w:val="0"/>
              <w:spacing w:after="0" w:line="240" w:lineRule="auto"/>
              <w:jc w:val="center"/>
              <w:rPr>
                <w:lang w:val="en-US" w:eastAsia="zh-CN"/>
              </w:rPr>
            </w:pPr>
            <w:r>
              <w:rPr>
                <w:lang w:val="en-US" w:eastAsia="zh-CN"/>
              </w:rPr>
              <w:t>0.061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77"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95%</w:t>
            </w:r>
          </w:p>
        </w:tc>
        <w:tc>
          <w:tcPr>
            <w:tcW w:w="1360" w:type="dxa"/>
            <w:vAlign w:val="center"/>
          </w:tcPr>
          <w:p>
            <w:pPr>
              <w:snapToGrid w:val="0"/>
              <w:spacing w:after="0" w:line="240" w:lineRule="auto"/>
              <w:jc w:val="center"/>
              <w:rPr>
                <w:lang w:val="en-US" w:eastAsia="zh-CN"/>
              </w:rPr>
            </w:pPr>
            <w:r>
              <w:rPr>
                <w:lang w:val="en-US" w:eastAsia="zh-CN"/>
              </w:rPr>
              <w:t>0.150</w:t>
            </w:r>
          </w:p>
        </w:tc>
        <w:tc>
          <w:tcPr>
            <w:tcW w:w="1260" w:type="dxa"/>
            <w:vAlign w:val="center"/>
          </w:tcPr>
          <w:p>
            <w:pPr>
              <w:snapToGrid w:val="0"/>
              <w:spacing w:after="0" w:line="240" w:lineRule="auto"/>
              <w:jc w:val="center"/>
              <w:rPr>
                <w:lang w:val="en-US" w:eastAsia="zh-CN"/>
              </w:rPr>
            </w:pPr>
            <w:r>
              <w:rPr>
                <w:lang w:val="en-US" w:eastAsia="zh-CN"/>
              </w:rPr>
              <w:t>0.150</w:t>
            </w:r>
          </w:p>
        </w:tc>
        <w:tc>
          <w:tcPr>
            <w:tcW w:w="1440" w:type="dxa"/>
            <w:vAlign w:val="center"/>
          </w:tcPr>
          <w:p>
            <w:pPr>
              <w:snapToGrid w:val="0"/>
              <w:spacing w:after="0" w:line="240" w:lineRule="auto"/>
              <w:jc w:val="center"/>
              <w:rPr>
                <w:lang w:val="en-US" w:eastAsia="zh-CN"/>
              </w:rPr>
            </w:pPr>
            <w:r>
              <w:rPr>
                <w:lang w:val="en-US" w:eastAsia="zh-CN"/>
              </w:rPr>
              <w:t>0.164</w:t>
            </w:r>
          </w:p>
        </w:tc>
        <w:tc>
          <w:tcPr>
            <w:tcW w:w="1700" w:type="dxa"/>
            <w:vAlign w:val="center"/>
          </w:tcPr>
          <w:p>
            <w:pPr>
              <w:snapToGrid w:val="0"/>
              <w:spacing w:after="0" w:line="240" w:lineRule="auto"/>
              <w:jc w:val="center"/>
              <w:rPr>
                <w:lang w:val="en-US" w:eastAsia="zh-CN"/>
              </w:rPr>
            </w:pPr>
            <w:r>
              <w:rPr>
                <w:lang w:val="en-US" w:eastAsia="zh-CN"/>
              </w:rPr>
              <w:t>0.150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17" w:hRule="atLeast"/>
          <w:jc w:val="center"/>
        </w:trPr>
        <w:tc>
          <w:tcPr>
            <w:tcW w:w="1377" w:type="dxa"/>
            <w:vMerge w:val="continue"/>
            <w:vAlign w:val="center"/>
          </w:tcPr>
          <w:p>
            <w:pPr>
              <w:snapToGrid w:val="0"/>
              <w:spacing w:after="0" w:line="240" w:lineRule="auto"/>
              <w:jc w:val="center"/>
            </w:pPr>
          </w:p>
        </w:tc>
        <w:tc>
          <w:tcPr>
            <w:tcW w:w="720" w:type="dxa"/>
            <w:vAlign w:val="center"/>
          </w:tcPr>
          <w:p>
            <w:pPr>
              <w:pStyle w:val="24"/>
              <w:snapToGrid w:val="0"/>
              <w:spacing w:before="0" w:beforeAutospacing="0" w:after="0" w:afterAutospacing="0" w:line="240" w:lineRule="auto"/>
              <w:jc w:val="center"/>
              <w:rPr>
                <w:rFonts w:eastAsia="宋体"/>
                <w:sz w:val="20"/>
                <w:szCs w:val="20"/>
              </w:rPr>
            </w:pPr>
            <w:r>
              <w:rPr>
                <w:rFonts w:eastAsia="宋体"/>
                <w:sz w:val="20"/>
                <w:szCs w:val="20"/>
              </w:rPr>
              <w:t>Mean</w:t>
            </w:r>
          </w:p>
        </w:tc>
        <w:tc>
          <w:tcPr>
            <w:tcW w:w="1360" w:type="dxa"/>
            <w:vAlign w:val="center"/>
          </w:tcPr>
          <w:p>
            <w:pPr>
              <w:snapToGrid w:val="0"/>
              <w:spacing w:after="0" w:line="240" w:lineRule="auto"/>
              <w:jc w:val="center"/>
              <w:rPr>
                <w:lang w:val="en-US" w:eastAsia="zh-CN"/>
              </w:rPr>
            </w:pPr>
            <w:r>
              <w:rPr>
                <w:lang w:val="en-US" w:eastAsia="zh-CN"/>
              </w:rPr>
              <w:t>0.062</w:t>
            </w:r>
          </w:p>
        </w:tc>
        <w:tc>
          <w:tcPr>
            <w:tcW w:w="1260" w:type="dxa"/>
            <w:vAlign w:val="center"/>
          </w:tcPr>
          <w:p>
            <w:pPr>
              <w:snapToGrid w:val="0"/>
              <w:spacing w:after="0" w:line="240" w:lineRule="auto"/>
              <w:jc w:val="center"/>
              <w:rPr>
                <w:lang w:val="en-US" w:eastAsia="zh-CN"/>
              </w:rPr>
            </w:pPr>
            <w:r>
              <w:rPr>
                <w:lang w:val="en-US" w:eastAsia="zh-CN"/>
              </w:rPr>
              <w:t>0.076</w:t>
            </w:r>
          </w:p>
        </w:tc>
        <w:tc>
          <w:tcPr>
            <w:tcW w:w="1440" w:type="dxa"/>
            <w:vAlign w:val="center"/>
          </w:tcPr>
          <w:p>
            <w:pPr>
              <w:snapToGrid w:val="0"/>
              <w:spacing w:after="0" w:line="240" w:lineRule="auto"/>
              <w:jc w:val="center"/>
              <w:rPr>
                <w:lang w:val="en-US" w:eastAsia="zh-CN"/>
              </w:rPr>
            </w:pPr>
            <w:r>
              <w:rPr>
                <w:lang w:val="en-US" w:eastAsia="zh-CN"/>
              </w:rPr>
              <w:t>0.080</w:t>
            </w:r>
          </w:p>
        </w:tc>
        <w:tc>
          <w:tcPr>
            <w:tcW w:w="1700" w:type="dxa"/>
            <w:vAlign w:val="center"/>
          </w:tcPr>
          <w:p>
            <w:pPr>
              <w:snapToGrid w:val="0"/>
              <w:spacing w:after="0" w:line="240" w:lineRule="auto"/>
              <w:jc w:val="center"/>
              <w:rPr>
                <w:lang w:val="en-US" w:eastAsia="zh-CN"/>
              </w:rPr>
            </w:pPr>
            <w:r>
              <w:rPr>
                <w:lang w:val="en-US" w:eastAsia="zh-CN"/>
              </w:rPr>
              <w:t>0.065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2097" w:type="dxa"/>
            <w:gridSpan w:val="2"/>
            <w:vAlign w:val="center"/>
          </w:tcPr>
          <w:p>
            <w:pPr>
              <w:pStyle w:val="24"/>
              <w:snapToGrid w:val="0"/>
              <w:spacing w:before="0" w:beforeAutospacing="0" w:after="0" w:afterAutospacing="0" w:line="240" w:lineRule="auto"/>
              <w:jc w:val="both"/>
              <w:rPr>
                <w:rFonts w:eastAsia="宋体"/>
                <w:sz w:val="20"/>
                <w:szCs w:val="20"/>
              </w:rPr>
            </w:pPr>
            <w:r>
              <w:rPr>
                <w:sz w:val="20"/>
                <w:szCs w:val="20"/>
              </w:rPr>
              <w:t>𝜌</w:t>
            </w:r>
            <w:r>
              <w:rPr>
                <w:sz w:val="20"/>
                <w:szCs w:val="20"/>
                <w:vertAlign w:val="subscript"/>
              </w:rPr>
              <w:t>DL</w:t>
            </w:r>
            <w:r>
              <w:rPr>
                <w:sz w:val="20"/>
                <w:szCs w:val="20"/>
              </w:rPr>
              <w:t>(%)</w:t>
            </w:r>
          </w:p>
        </w:tc>
        <w:tc>
          <w:tcPr>
            <w:tcW w:w="1360" w:type="dxa"/>
            <w:vAlign w:val="center"/>
          </w:tcPr>
          <w:p>
            <w:pPr>
              <w:snapToGrid w:val="0"/>
              <w:spacing w:after="0" w:line="240" w:lineRule="auto"/>
              <w:jc w:val="center"/>
              <w:rPr>
                <w:lang w:val="en-US" w:eastAsia="zh-CN"/>
              </w:rPr>
            </w:pPr>
            <w:r>
              <w:rPr>
                <w:lang w:val="en-US" w:eastAsia="zh-CN"/>
              </w:rPr>
              <w:t>99.8</w:t>
            </w:r>
          </w:p>
        </w:tc>
        <w:tc>
          <w:tcPr>
            <w:tcW w:w="1260" w:type="dxa"/>
            <w:vAlign w:val="center"/>
          </w:tcPr>
          <w:p>
            <w:pPr>
              <w:snapToGrid w:val="0"/>
              <w:spacing w:after="0" w:line="240" w:lineRule="auto"/>
              <w:jc w:val="center"/>
              <w:rPr>
                <w:lang w:val="en-US" w:eastAsia="zh-CN"/>
              </w:rPr>
            </w:pPr>
            <w:r>
              <w:rPr>
                <w:lang w:val="en-US" w:eastAsia="zh-CN"/>
              </w:rPr>
              <w:t>99.8</w:t>
            </w:r>
          </w:p>
        </w:tc>
        <w:tc>
          <w:tcPr>
            <w:tcW w:w="1440" w:type="dxa"/>
            <w:vAlign w:val="center"/>
          </w:tcPr>
          <w:p>
            <w:pPr>
              <w:snapToGrid w:val="0"/>
              <w:spacing w:after="0" w:line="240" w:lineRule="auto"/>
              <w:jc w:val="center"/>
              <w:rPr>
                <w:lang w:val="en-US" w:eastAsia="zh-CN"/>
              </w:rPr>
            </w:pPr>
            <w:r>
              <w:rPr>
                <w:lang w:val="en-US" w:eastAsia="zh-CN"/>
              </w:rPr>
              <w:t>98.1</w:t>
            </w:r>
          </w:p>
        </w:tc>
        <w:tc>
          <w:tcPr>
            <w:tcW w:w="1700" w:type="dxa"/>
            <w:vAlign w:val="center"/>
          </w:tcPr>
          <w:p>
            <w:pPr>
              <w:snapToGrid w:val="0"/>
              <w:spacing w:after="0" w:line="240" w:lineRule="auto"/>
              <w:jc w:val="center"/>
              <w:rPr>
                <w:lang w:val="en-US" w:eastAsia="zh-CN"/>
              </w:rPr>
            </w:pPr>
            <w:r>
              <w:rPr>
                <w:lang w:val="en-US" w:eastAsia="zh-CN"/>
              </w:rPr>
              <w:t>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32" w:hRule="atLeast"/>
          <w:jc w:val="center"/>
        </w:trPr>
        <w:tc>
          <w:tcPr>
            <w:tcW w:w="2097" w:type="dxa"/>
            <w:gridSpan w:val="2"/>
            <w:vAlign w:val="center"/>
          </w:tcPr>
          <w:p>
            <w:pPr>
              <w:pStyle w:val="24"/>
              <w:snapToGrid w:val="0"/>
              <w:spacing w:before="0" w:beforeAutospacing="0" w:after="0" w:afterAutospacing="0" w:line="240" w:lineRule="auto"/>
              <w:jc w:val="both"/>
              <w:rPr>
                <w:rFonts w:eastAsia="宋体"/>
                <w:sz w:val="20"/>
                <w:szCs w:val="20"/>
              </w:rPr>
            </w:pPr>
            <w:r>
              <w:rPr>
                <w:rFonts w:eastAsia="宋体"/>
                <w:sz w:val="20"/>
                <w:szCs w:val="20"/>
              </w:rPr>
              <w:t xml:space="preserve">BO </w:t>
            </w:r>
            <w:r>
              <w:rPr>
                <w:sz w:val="20"/>
                <w:szCs w:val="20"/>
              </w:rPr>
              <w:t>(DL)(%)</w:t>
            </w:r>
          </w:p>
        </w:tc>
        <w:tc>
          <w:tcPr>
            <w:tcW w:w="1360" w:type="dxa"/>
            <w:vAlign w:val="center"/>
          </w:tcPr>
          <w:p>
            <w:pPr>
              <w:snapToGrid w:val="0"/>
              <w:spacing w:after="0" w:line="240" w:lineRule="auto"/>
              <w:jc w:val="center"/>
              <w:rPr>
                <w:lang w:val="en-US" w:eastAsia="zh-CN"/>
              </w:rPr>
            </w:pPr>
            <w:r>
              <w:rPr>
                <w:lang w:val="en-US" w:eastAsia="zh-CN"/>
              </w:rPr>
              <w:t>25.9</w:t>
            </w:r>
          </w:p>
        </w:tc>
        <w:tc>
          <w:tcPr>
            <w:tcW w:w="1260" w:type="dxa"/>
            <w:vAlign w:val="center"/>
          </w:tcPr>
          <w:p>
            <w:pPr>
              <w:snapToGrid w:val="0"/>
              <w:spacing w:after="0" w:line="240" w:lineRule="auto"/>
              <w:jc w:val="center"/>
              <w:rPr>
                <w:lang w:val="en-US" w:eastAsia="zh-CN"/>
              </w:rPr>
            </w:pPr>
            <w:r>
              <w:rPr>
                <w:lang w:val="en-US" w:eastAsia="zh-CN"/>
              </w:rPr>
              <w:t>22.0</w:t>
            </w:r>
          </w:p>
        </w:tc>
        <w:tc>
          <w:tcPr>
            <w:tcW w:w="1440" w:type="dxa"/>
            <w:vAlign w:val="center"/>
          </w:tcPr>
          <w:p>
            <w:pPr>
              <w:snapToGrid w:val="0"/>
              <w:spacing w:after="0" w:line="240" w:lineRule="auto"/>
              <w:jc w:val="center"/>
              <w:rPr>
                <w:lang w:val="en-US" w:eastAsia="zh-CN"/>
              </w:rPr>
            </w:pPr>
            <w:r>
              <w:rPr>
                <w:lang w:val="en-US" w:eastAsia="zh-CN"/>
              </w:rPr>
              <w:t>30.8</w:t>
            </w:r>
          </w:p>
        </w:tc>
        <w:tc>
          <w:tcPr>
            <w:tcW w:w="1700" w:type="dxa"/>
            <w:vAlign w:val="center"/>
          </w:tcPr>
          <w:p>
            <w:pPr>
              <w:snapToGrid w:val="0"/>
              <w:spacing w:after="0" w:line="240" w:lineRule="auto"/>
              <w:jc w:val="center"/>
              <w:rPr>
                <w:lang w:val="en-US" w:eastAsia="zh-CN"/>
              </w:rPr>
            </w:pPr>
            <w:r>
              <w:rPr>
                <w:lang w:val="en-US" w:eastAsia="zh-CN"/>
              </w:rPr>
              <w:t>22.0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29" w:hRule="atLeast"/>
          <w:jc w:val="center"/>
        </w:trPr>
        <w:tc>
          <w:tcPr>
            <w:tcW w:w="2097" w:type="dxa"/>
            <w:gridSpan w:val="2"/>
            <w:vAlign w:val="center"/>
          </w:tcPr>
          <w:p>
            <w:pPr>
              <w:snapToGrid w:val="0"/>
              <w:spacing w:after="0" w:line="240" w:lineRule="auto"/>
              <w:jc w:val="both"/>
              <w:rPr>
                <w:rFonts w:eastAsia="宋体"/>
              </w:rPr>
            </w:pPr>
            <w:r>
              <w:t>𝜆</w:t>
            </w:r>
          </w:p>
        </w:tc>
        <w:tc>
          <w:tcPr>
            <w:tcW w:w="5760" w:type="dxa"/>
            <w:gridSpan w:val="4"/>
            <w:vAlign w:val="center"/>
          </w:tcPr>
          <w:p>
            <w:pPr>
              <w:snapToGrid w:val="0"/>
              <w:spacing w:after="0" w:line="240" w:lineRule="auto"/>
              <w:jc w:val="center"/>
              <w:rPr>
                <w:lang w:val="en-US" w:eastAsia="zh-CN"/>
              </w:rPr>
            </w:pPr>
            <w:r>
              <w:rPr>
                <w:lang w:val="en-US" w:eastAsia="zh-CN"/>
              </w:rPr>
              <w:t>1.2 files/s</w:t>
            </w:r>
          </w:p>
        </w:tc>
      </w:tr>
    </w:tbl>
    <w:p>
      <w:pPr>
        <w:spacing w:before="120" w:after="120" w:line="240" w:lineRule="auto"/>
        <w:jc w:val="center"/>
        <w:rPr>
          <w:rFonts w:eastAsia="宋体"/>
          <w:lang w:eastAsia="zh-CN"/>
        </w:rPr>
      </w:pPr>
    </w:p>
    <w:p>
      <w:pPr>
        <w:spacing w:before="137" w:beforeLines="50" w:after="137" w:afterLines="50" w:line="240" w:lineRule="auto"/>
        <w:jc w:val="both"/>
        <w:rPr>
          <w:rFonts w:eastAsia="宋体"/>
          <w:lang w:eastAsia="zh-CN"/>
        </w:rPr>
      </w:pPr>
      <w:r>
        <w:rPr>
          <w:rFonts w:hint="eastAsia" w:eastAsia="宋体"/>
          <w:lang w:val="en-US" w:eastAsia="zh-CN"/>
        </w:rPr>
        <w:t xml:space="preserve">It is observed </w:t>
      </w:r>
      <w:r>
        <w:rPr>
          <w:rFonts w:eastAsia="宋体"/>
          <w:lang w:eastAsia="zh-CN"/>
        </w:rPr>
        <w:t xml:space="preserve">that </w:t>
      </w:r>
      <w:r>
        <w:rPr>
          <w:rFonts w:hint="eastAsia" w:eastAsia="宋体"/>
          <w:lang w:val="en-US" w:eastAsia="zh-CN"/>
        </w:rPr>
        <w:t xml:space="preserve">enhanced Cat-2 LBT such as </w:t>
      </w:r>
      <w:r>
        <w:rPr>
          <w:rFonts w:hint="eastAsia"/>
          <w:lang w:val="en-US" w:eastAsia="zh-CN"/>
        </w:rPr>
        <w:t>multiple CCAs method</w:t>
      </w:r>
      <w:r>
        <w:rPr>
          <w:rFonts w:hint="eastAsia" w:eastAsia="宋体"/>
          <w:lang w:eastAsia="zh-CN"/>
        </w:rPr>
        <w:t xml:space="preserve"> </w:t>
      </w:r>
      <w:r>
        <w:rPr>
          <w:rFonts w:eastAsia="宋体"/>
          <w:lang w:eastAsia="zh-CN"/>
        </w:rPr>
        <w:t>ha</w:t>
      </w:r>
      <w:r>
        <w:rPr>
          <w:rFonts w:hint="eastAsia" w:eastAsia="宋体"/>
          <w:lang w:eastAsia="zh-CN"/>
        </w:rPr>
        <w:t xml:space="preserve">s better </w:t>
      </w:r>
      <w:r>
        <w:rPr>
          <w:rFonts w:eastAsia="宋体"/>
          <w:lang w:eastAsia="zh-CN"/>
        </w:rPr>
        <w:t xml:space="preserve">performance </w:t>
      </w:r>
      <w:r>
        <w:rPr>
          <w:rFonts w:hint="eastAsia" w:eastAsia="宋体"/>
          <w:lang w:eastAsia="zh-CN"/>
        </w:rPr>
        <w:t xml:space="preserve">than </w:t>
      </w:r>
      <w:r>
        <w:rPr>
          <w:rFonts w:hint="eastAsia" w:eastAsia="宋体"/>
          <w:lang w:val="en-US" w:eastAsia="zh-CN"/>
        </w:rPr>
        <w:t>Cat-2 LBT</w:t>
      </w:r>
      <w:r>
        <w:rPr>
          <w:rFonts w:eastAsia="宋体"/>
          <w:lang w:eastAsia="zh-CN"/>
        </w:rPr>
        <w:t xml:space="preserve"> as shown in Table</w:t>
      </w:r>
      <w:r>
        <w:rPr>
          <w:rFonts w:hint="eastAsia" w:eastAsia="宋体"/>
          <w:lang w:val="en-US" w:eastAsia="zh-CN"/>
        </w:rPr>
        <w:t xml:space="preserve"> 1 for the </w:t>
      </w:r>
      <w:r>
        <w:rPr>
          <w:rFonts w:hint="eastAsia" w:eastAsia="宋体"/>
          <w:lang w:eastAsia="zh-CN"/>
        </w:rPr>
        <w:t xml:space="preserve">case of </w:t>
      </w:r>
      <w:r>
        <w:rPr>
          <w:rFonts w:eastAsia="宋体"/>
          <w:lang w:eastAsia="zh-CN"/>
        </w:rPr>
        <w:t xml:space="preserve">asynchronous </w:t>
      </w:r>
      <w:r>
        <w:rPr>
          <w:rFonts w:hint="eastAsia" w:eastAsia="宋体"/>
          <w:lang w:val="en-US" w:eastAsia="zh-CN"/>
        </w:rPr>
        <w:t>NR-U</w:t>
      </w:r>
      <w:r>
        <w:rPr>
          <w:rFonts w:eastAsia="宋体"/>
          <w:lang w:eastAsia="zh-CN"/>
        </w:rPr>
        <w:t xml:space="preserve"> </w:t>
      </w:r>
      <w:r>
        <w:rPr>
          <w:rFonts w:hint="eastAsia" w:eastAsia="宋体"/>
          <w:lang w:val="en-US" w:eastAsia="zh-CN"/>
        </w:rPr>
        <w:t>nodes</w:t>
      </w:r>
      <w:r>
        <w:rPr>
          <w:rFonts w:hint="eastAsia" w:eastAsia="宋体"/>
          <w:lang w:eastAsia="zh-CN"/>
        </w:rPr>
        <w:t xml:space="preserve">. </w:t>
      </w:r>
    </w:p>
    <w:p>
      <w:pPr>
        <w:spacing w:before="137" w:beforeLines="50" w:after="137" w:afterLines="50" w:line="240" w:lineRule="auto"/>
        <w:jc w:val="both"/>
        <w:rPr>
          <w:rFonts w:hint="default"/>
          <w:b w:val="0"/>
          <w:bCs w:val="0"/>
          <w:sz w:val="21"/>
          <w:szCs w:val="22"/>
          <w:lang w:val="en-US" w:eastAsia="zh-CN"/>
        </w:rPr>
      </w:pPr>
      <w:r>
        <w:rPr>
          <w:rFonts w:hint="eastAsia"/>
          <w:b/>
          <w:bCs/>
          <w:lang w:val="en-US" w:eastAsia="zh-CN"/>
        </w:rPr>
        <w:t xml:space="preserve">Proposal 8: </w:t>
      </w:r>
      <w:r>
        <w:rPr>
          <w:rFonts w:hint="eastAsia"/>
          <w:b w:val="0"/>
          <w:bCs w:val="0"/>
          <w:i/>
          <w:iCs/>
          <w:sz w:val="21"/>
          <w:szCs w:val="22"/>
          <w:lang w:val="en-US" w:eastAsia="zh-CN"/>
        </w:rPr>
        <w:t xml:space="preserve">The method of </w:t>
      </w:r>
      <w:r>
        <w:rPr>
          <w:rFonts w:hint="eastAsia"/>
          <w:i/>
          <w:iCs/>
          <w:sz w:val="21"/>
          <w:szCs w:val="22"/>
          <w:lang w:val="en-US" w:eastAsia="zh-CN"/>
        </w:rPr>
        <w:t>R</w:t>
      </w:r>
      <w:r>
        <w:rPr>
          <w:rFonts w:hint="eastAsia"/>
          <w:i/>
          <w:iCs/>
          <w:lang w:val="en-US" w:eastAsia="zh-CN"/>
        </w:rPr>
        <w:t xml:space="preserve">andomly selection the starting position of CCA in CCA time window (idle period) </w:t>
      </w:r>
      <w:r>
        <w:rPr>
          <w:i/>
          <w:iCs/>
          <w:lang w:val="en-US" w:eastAsia="zh-CN"/>
        </w:rPr>
        <w:t xml:space="preserve"> can be considered for FBE to solve unfairness problem caused by NR-U node timing difference and increase the opportunity of channel</w:t>
      </w:r>
      <w:r>
        <w:rPr>
          <w:rFonts w:hint="eastAsia"/>
          <w:i/>
          <w:iCs/>
          <w:lang w:val="en-US" w:eastAsia="zh-CN"/>
        </w:rPr>
        <w:t xml:space="preserve"> </w:t>
      </w:r>
      <w:r>
        <w:rPr>
          <w:i/>
          <w:iCs/>
          <w:lang w:val="en-US" w:eastAsia="zh-CN"/>
        </w:rPr>
        <w:t>acces</w:t>
      </w:r>
      <w:r>
        <w:rPr>
          <w:rFonts w:hint="eastAsia"/>
          <w:i/>
          <w:iCs/>
          <w:lang w:val="en-US" w:eastAsia="zh-CN"/>
        </w:rPr>
        <w:t xml:space="preserve">s for </w:t>
      </w:r>
      <w:r>
        <w:rPr>
          <w:i/>
          <w:iCs/>
          <w:lang w:val="en-US" w:eastAsia="zh-CN"/>
        </w:rPr>
        <w:t>NR-U nodes.</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UE initiated COT sharing with gNB</w:t>
      </w:r>
    </w:p>
    <w:p>
      <w:pPr>
        <w:spacing w:before="137" w:beforeLines="50" w:after="137" w:afterLines="50" w:line="240" w:lineRule="auto"/>
        <w:jc w:val="both"/>
        <w:rPr>
          <w:rFonts w:hint="eastAsia" w:eastAsia="宋体"/>
          <w:lang w:val="en-US" w:eastAsia="zh-CN"/>
        </w:rPr>
      </w:pPr>
      <w:r>
        <w:rPr>
          <w:rFonts w:hint="eastAsia" w:eastAsia="宋体"/>
          <w:b w:val="0"/>
          <w:bCs w:val="0"/>
          <w:sz w:val="21"/>
          <w:szCs w:val="22"/>
          <w:lang w:val="en-US" w:eastAsia="zh-CN"/>
        </w:rPr>
        <w:t>In 38.889, the following</w:t>
      </w:r>
      <w:r>
        <w:rPr>
          <w:rFonts w:hint="eastAsia"/>
          <w:lang w:val="en-US" w:eastAsia="zh-CN"/>
        </w:rPr>
        <w:t xml:space="preserve"> consensus has been reached, </w:t>
      </w:r>
      <w:r>
        <w:rPr>
          <w:rFonts w:hint="default"/>
          <w:lang w:val="en-US" w:eastAsia="zh-CN"/>
        </w:rPr>
        <w:t>“</w:t>
      </w:r>
      <w:r>
        <w:rPr>
          <w:i/>
          <w:iCs/>
        </w:rPr>
        <w:t>It was identified that sharing resources with gNB within COT(s) that is acquired by UE(s) as part of configured grant based transmissions should be supported.</w:t>
      </w:r>
      <w:r>
        <w:rPr>
          <w:rFonts w:hint="default"/>
          <w:lang w:val="en-US" w:eastAsia="zh-CN"/>
        </w:rPr>
        <w:t>”</w:t>
      </w:r>
      <w:r>
        <w:rPr>
          <w:rFonts w:hint="eastAsia"/>
          <w:lang w:val="en-US" w:eastAsia="zh-CN"/>
        </w:rPr>
        <w:t xml:space="preserve"> For this case, UE initiated COT can reuse the same rules as gNB initiated COT. That is to say, if UE obtains channel by Cat-4 LBT, it is possible for gNB to share the UE initiated COT to transmit DL data. Wherein, UE initiated COT information can be carried in UCI such as CG-UCI for </w:t>
      </w:r>
      <w:r>
        <w:rPr>
          <w:lang w:val="en-US"/>
        </w:rPr>
        <w:t>configured grant PUSCH resources and in PUCCH for scheduled PUSCH.</w:t>
      </w:r>
      <w:r>
        <w:rPr>
          <w:rFonts w:hint="eastAsia" w:eastAsia="宋体"/>
          <w:lang w:val="en-US" w:eastAsia="zh-CN"/>
        </w:rPr>
        <w:t xml:space="preserve"> Besides, gNB may indicate UE to stop its UL transmission earlier to leave LBT gap for gNB to access channel. gNB may also indicate to UE that it has DL data to be transmitted so that UE can stop its UL transmission earlier. </w:t>
      </w:r>
    </w:p>
    <w:p>
      <w:pPr>
        <w:spacing w:before="137" w:beforeLines="50" w:after="137" w:afterLines="50" w:line="240" w:lineRule="auto"/>
        <w:jc w:val="both"/>
        <w:rPr>
          <w:rFonts w:hint="default" w:eastAsia="宋体"/>
          <w:lang w:val="en-US" w:eastAsia="zh-CN"/>
        </w:rPr>
      </w:pPr>
      <w:r>
        <w:rPr>
          <w:rFonts w:hint="eastAsia" w:eastAsia="宋体"/>
          <w:lang w:val="en-US" w:eastAsia="zh-CN"/>
        </w:rPr>
        <w:t>If the same UE is scheduled on the remaining resources within UE initiated COT after DL transmission, then Cat-2 LBT can be performed if the gap is 16us or larger than 25us and LBT type can be indicated by gNB to UE. However, if the different UE is scheduled on the remaining resources within UE initiated COT after DL transmission, then in order to keep fair coexistence with Wi-Fi, gNB can indicate Cat-4 LBT to UE and initiate a new COT. By contrary, Cat-2 LBT is indicated to UE that is not initiating COT, then it will result in less channel access chances for other devices being detection and unfairness to some extent. More specification impacts need to further be discussed and evaluated.</w:t>
      </w:r>
    </w:p>
    <w:p>
      <w:pPr>
        <w:spacing w:before="137" w:beforeLines="50" w:after="137" w:afterLines="50"/>
        <w:jc w:val="both"/>
        <w:rPr>
          <w:rFonts w:hint="default"/>
          <w:lang w:val="en-US" w:eastAsia="zh-CN"/>
        </w:rPr>
      </w:pPr>
      <w:r>
        <w:rPr>
          <w:rFonts w:hint="eastAsia"/>
          <w:b/>
          <w:bCs/>
          <w:lang w:val="en-US" w:eastAsia="zh-CN"/>
        </w:rPr>
        <w:t xml:space="preserve">Proposal 9: </w:t>
      </w:r>
      <w:r>
        <w:rPr>
          <w:rFonts w:hint="eastAsia"/>
          <w:b w:val="0"/>
          <w:bCs w:val="0"/>
          <w:i/>
          <w:iCs/>
          <w:lang w:val="en-US" w:eastAsia="zh-CN"/>
        </w:rPr>
        <w:t>UE initiated COT can be shared with gNB at least for DL data/control signal meant for the same UE. But it need to further be discussed and evaluated for UE initiated COT shared with other UEs considering that fair coexistence with Wi-Fi/nodes of same system.</w:t>
      </w:r>
    </w:p>
    <w:p>
      <w:pPr>
        <w:pStyle w:val="3"/>
        <w:spacing w:before="120" w:after="120" w:line="240" w:lineRule="auto"/>
        <w:jc w:val="both"/>
        <w:rPr>
          <w:rFonts w:hint="eastAsia"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Maximum TX duration for Cat-1 LBT</w:t>
      </w:r>
    </w:p>
    <w:p>
      <w:pPr>
        <w:spacing w:before="137" w:beforeLines="50" w:after="137" w:afterLines="50" w:line="240" w:lineRule="auto"/>
        <w:jc w:val="both"/>
        <w:rPr>
          <w:rFonts w:hint="default"/>
          <w:highlight w:val="yellow"/>
          <w:lang w:val="en-US" w:eastAsia="zh-CN"/>
        </w:rPr>
      </w:pPr>
      <w:r>
        <w:rPr>
          <w:rFonts w:hint="eastAsia"/>
          <w:lang w:val="en-US" w:eastAsia="zh-CN"/>
        </w:rPr>
        <w:t xml:space="preserve">In ETSI BRAN specification, clause 4.2.7.3.1.5, the following content was mentioned, </w:t>
      </w:r>
      <w:r>
        <w:rPr>
          <w:rFonts w:hint="default"/>
          <w:lang w:val="en-US" w:eastAsia="zh-CN"/>
        </w:rPr>
        <w:t>“</w:t>
      </w:r>
      <w:r>
        <w:rPr>
          <w:rFonts w:hint="eastAsia"/>
          <w:lang w:val="en-US" w:eastAsia="zh-CN"/>
        </w:rPr>
        <w:t xml:space="preserve"> </w:t>
      </w:r>
      <w:r>
        <w:rPr>
          <w:rFonts w:hint="eastAsia"/>
          <w:i/>
          <w:iCs/>
          <w:lang w:val="en-US" w:eastAsia="zh-CN"/>
        </w:rPr>
        <w:t>the responding device may proceed with such transmission without performing a clear channel assessment (CCA) if these transmissions are initiated at most 16us after the last transmission by initiating device that issued the grant</w:t>
      </w:r>
      <w:r>
        <w:rPr>
          <w:rFonts w:hint="default"/>
          <w:lang w:val="en-US" w:eastAsia="zh-CN"/>
        </w:rPr>
        <w:t>”</w:t>
      </w:r>
      <w:r>
        <w:rPr>
          <w:rFonts w:hint="eastAsia"/>
          <w:lang w:val="en-US" w:eastAsia="zh-CN"/>
        </w:rPr>
        <w:t xml:space="preserve">. From the above statement, we can only see that Cat-1 LBT (No LBT) can be applied without any restrictions on the duration of transmission for responding device if the gap between gNB and UE is no more than 16 us. </w:t>
      </w:r>
      <w:r>
        <w:rPr>
          <w:rFonts w:hint="eastAsia"/>
          <w:highlight w:val="none"/>
          <w:lang w:val="en-US" w:eastAsia="zh-CN"/>
        </w:rPr>
        <w:t xml:space="preserve">Based on this, it is recommended that  the maximum TX duration for Cat-1 LBT should not be limited. Preferably, </w:t>
      </w:r>
      <w:r>
        <w:rPr>
          <w:rFonts w:hint="eastAsia"/>
          <w:lang w:val="en-US" w:eastAsia="zh-CN"/>
        </w:rPr>
        <w:t xml:space="preserve">maximum TX duration within a gNB initiated COT only can be determined according to MCOT duration limit. </w:t>
      </w:r>
    </w:p>
    <w:p>
      <w:pPr>
        <w:spacing w:before="137" w:beforeLines="50" w:after="137" w:afterLines="50" w:line="240" w:lineRule="auto"/>
        <w:jc w:val="both"/>
        <w:rPr>
          <w:rFonts w:hint="default"/>
          <w:i/>
          <w:iCs/>
          <w:highlight w:val="none"/>
          <w:lang w:val="en-US" w:eastAsia="zh-CN"/>
        </w:rPr>
      </w:pPr>
      <w:r>
        <w:rPr>
          <w:rFonts w:hint="eastAsia"/>
          <w:b/>
          <w:bCs/>
          <w:lang w:val="en-US" w:eastAsia="zh-CN"/>
        </w:rPr>
        <w:t xml:space="preserve">Observation 1: </w:t>
      </w:r>
      <w:r>
        <w:rPr>
          <w:rFonts w:hint="eastAsia"/>
          <w:b w:val="0"/>
          <w:bCs w:val="0"/>
          <w:i/>
          <w:iCs/>
          <w:lang w:val="en-US" w:eastAsia="zh-CN"/>
        </w:rPr>
        <w:t>Considering that no any restriction on maximum TX duration for Cat-1 LBT in ETSI specification,</w:t>
      </w:r>
      <w:r>
        <w:rPr>
          <w:rFonts w:hint="eastAsia"/>
          <w:b w:val="0"/>
          <w:bCs w:val="0"/>
          <w:i/>
          <w:iCs/>
          <w:highlight w:val="none"/>
          <w:lang w:val="en-US" w:eastAsia="zh-CN"/>
        </w:rPr>
        <w:t xml:space="preserve"> it is recommended that  the maximum TX duration for Cat-1 LBT should not be limited. </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LBT for DRS</w:t>
      </w:r>
    </w:p>
    <w:p>
      <w:pPr>
        <w:pStyle w:val="4"/>
        <w:spacing w:before="120" w:after="120" w:line="240" w:lineRule="auto"/>
        <w:rPr>
          <w:rFonts w:hint="eastAsia" w:ascii="Times New Roman" w:hAnsi="Times New Roman" w:eastAsia="宋体" w:cs="Times New Roman"/>
          <w:b/>
          <w:bCs w:val="0"/>
          <w:sz w:val="21"/>
          <w:szCs w:val="21"/>
          <w:lang w:val="en-US" w:eastAsia="zh-CN"/>
        </w:rPr>
      </w:pPr>
      <w:r>
        <w:rPr>
          <w:rFonts w:hint="eastAsia" w:ascii="Times New Roman" w:hAnsi="Times New Roman" w:eastAsia="宋体" w:cs="Times New Roman"/>
          <w:b/>
          <w:bCs w:val="0"/>
          <w:sz w:val="21"/>
          <w:szCs w:val="21"/>
          <w:lang w:val="en-US" w:eastAsia="zh-CN"/>
        </w:rPr>
        <w:t xml:space="preserve"> Application Scenarios for Cat-2 LBT</w:t>
      </w:r>
    </w:p>
    <w:p>
      <w:pPr>
        <w:tabs>
          <w:tab w:val="left" w:pos="450"/>
          <w:tab w:val="left" w:pos="720"/>
        </w:tabs>
        <w:spacing w:before="137" w:beforeLines="50" w:after="137" w:afterLines="50" w:line="240" w:lineRule="auto"/>
        <w:jc w:val="both"/>
        <w:rPr>
          <w:lang w:val="en-US" w:eastAsia="zh-CN"/>
        </w:rPr>
      </w:pPr>
      <w:r>
        <w:rPr>
          <w:lang w:val="en-US" w:eastAsia="zh-CN"/>
        </w:rPr>
        <w:t xml:space="preserve">According to </w:t>
      </w:r>
      <w:r>
        <w:rPr>
          <w:rFonts w:hint="eastAsia"/>
          <w:lang w:val="en-US" w:eastAsia="zh-CN"/>
        </w:rPr>
        <w:t>the conclusion of the last meeting</w:t>
      </w:r>
      <w:r>
        <w:rPr>
          <w:lang w:val="en-US" w:eastAsia="zh-CN"/>
        </w:rPr>
        <w:t xml:space="preserve">, </w:t>
      </w:r>
      <w:r>
        <w:rPr>
          <w:rFonts w:hint="eastAsia"/>
          <w:lang w:val="en-US" w:eastAsia="zh-CN"/>
        </w:rPr>
        <w:t>Cat</w:t>
      </w:r>
      <w:r>
        <w:rPr>
          <w:lang w:val="en-US" w:eastAsia="zh-CN"/>
        </w:rPr>
        <w:t>-</w:t>
      </w:r>
      <w:r>
        <w:rPr>
          <w:rFonts w:hint="eastAsia"/>
          <w:lang w:val="en-US" w:eastAsia="zh-CN"/>
        </w:rPr>
        <w:t xml:space="preserve">4 LBT is used for DRS duty cycle </w:t>
      </w:r>
      <w:r>
        <w:rPr>
          <w:lang w:val="en-US" w:eastAsia="zh-CN"/>
        </w:rPr>
        <w:t xml:space="preserve">when DRS transmission </w:t>
      </w:r>
      <w:r>
        <w:rPr>
          <w:rFonts w:hint="eastAsia"/>
          <w:lang w:val="en-US" w:eastAsia="zh-CN"/>
        </w:rPr>
        <w:t>is l</w:t>
      </w:r>
      <w:r>
        <w:rPr>
          <w:lang w:val="en-US" w:eastAsia="zh-CN"/>
        </w:rPr>
        <w:t>onger</w:t>
      </w:r>
      <w:r>
        <w:rPr>
          <w:rFonts w:hint="eastAsia"/>
          <w:lang w:val="en-US" w:eastAsia="zh-CN"/>
        </w:rPr>
        <w:t xml:space="preserve"> than 1/20 or the total of DRS duration is larger than 1ms. Cat</w:t>
      </w:r>
      <w:r>
        <w:rPr>
          <w:lang w:val="en-US" w:eastAsia="zh-CN"/>
        </w:rPr>
        <w:t>-</w:t>
      </w:r>
      <w:r>
        <w:rPr>
          <w:rFonts w:hint="eastAsia"/>
          <w:lang w:val="en-US" w:eastAsia="zh-CN"/>
        </w:rPr>
        <w:t>2 LBT can be performed only for DRS duty cycle smaller than 1/20 or</w:t>
      </w:r>
      <w:r>
        <w:rPr>
          <w:lang w:val="en-US" w:eastAsia="zh-CN"/>
        </w:rPr>
        <w:t xml:space="preserve"> </w:t>
      </w:r>
      <w:r>
        <w:rPr>
          <w:rFonts w:hint="eastAsia"/>
          <w:lang w:val="en-US" w:eastAsia="zh-CN"/>
        </w:rPr>
        <w:t>the total of DRS duration smaller than 1</w:t>
      </w:r>
      <w:r>
        <w:rPr>
          <w:lang w:val="en-US" w:eastAsia="zh-CN"/>
        </w:rPr>
        <w:t xml:space="preserve"> </w:t>
      </w:r>
      <w:r>
        <w:rPr>
          <w:rFonts w:hint="eastAsia"/>
          <w:lang w:val="en-US" w:eastAsia="zh-CN"/>
        </w:rPr>
        <w:t>ms. For this agreement, our understanding is that Cat</w:t>
      </w:r>
      <w:r>
        <w:rPr>
          <w:lang w:val="en-US" w:eastAsia="zh-CN"/>
        </w:rPr>
        <w:t>-</w:t>
      </w:r>
      <w:r>
        <w:rPr>
          <w:rFonts w:hint="eastAsia"/>
          <w:lang w:val="en-US" w:eastAsia="zh-CN"/>
        </w:rPr>
        <w:t>4 LBT is just used before the DRS multiplexed with unicast date are transmitted. Besides, Cat</w:t>
      </w:r>
      <w:r>
        <w:rPr>
          <w:lang w:val="en-US" w:eastAsia="zh-CN"/>
        </w:rPr>
        <w:t>-</w:t>
      </w:r>
      <w:r>
        <w:rPr>
          <w:rFonts w:hint="eastAsia"/>
          <w:lang w:val="en-US" w:eastAsia="zh-CN"/>
        </w:rPr>
        <w:t xml:space="preserve">4 LBT can also be used before DRS burst set starts transmission, wherein, duration of DRS burst set &gt; 1ms or duty cycle of DRS burst set in a DRS period &gt;1/20. </w:t>
      </w:r>
    </w:p>
    <w:p>
      <w:pPr>
        <w:tabs>
          <w:tab w:val="left" w:pos="450"/>
          <w:tab w:val="left" w:pos="720"/>
        </w:tabs>
        <w:spacing w:before="137" w:beforeLines="50" w:after="137" w:afterLines="50" w:line="240" w:lineRule="auto"/>
        <w:jc w:val="both"/>
        <w:rPr>
          <w:lang w:val="en-US" w:eastAsia="zh-CN"/>
        </w:rPr>
      </w:pPr>
      <w:r>
        <w:rPr>
          <w:rFonts w:hint="eastAsia"/>
          <w:lang w:val="en-US" w:eastAsia="zh-CN"/>
        </w:rPr>
        <w:t>Besides, Cat</w:t>
      </w:r>
      <w:r>
        <w:rPr>
          <w:lang w:val="en-US" w:eastAsia="zh-CN"/>
        </w:rPr>
        <w:t>-</w:t>
      </w:r>
      <w:r>
        <w:rPr>
          <w:rFonts w:hint="eastAsia"/>
          <w:lang w:val="en-US" w:eastAsia="zh-CN"/>
        </w:rPr>
        <w:t>2 LBT can be used for the following situations:</w:t>
      </w:r>
    </w:p>
    <w:p>
      <w:pPr>
        <w:tabs>
          <w:tab w:val="left" w:pos="450"/>
          <w:tab w:val="left" w:pos="720"/>
        </w:tabs>
        <w:spacing w:before="137" w:beforeLines="50" w:after="137" w:afterLines="50" w:line="240" w:lineRule="auto"/>
        <w:jc w:val="both"/>
        <w:rPr>
          <w:lang w:val="en-US" w:eastAsia="zh-CN"/>
        </w:rPr>
      </w:pPr>
      <w:r>
        <w:rPr>
          <w:rFonts w:hint="eastAsia"/>
          <w:b/>
          <w:lang w:val="en-US" w:eastAsia="zh-CN"/>
        </w:rPr>
        <w:t>Case</w:t>
      </w:r>
      <w:r>
        <w:rPr>
          <w:b/>
          <w:lang w:val="en-US" w:eastAsia="zh-CN"/>
        </w:rPr>
        <w:t xml:space="preserve"> </w:t>
      </w:r>
      <w:r>
        <w:rPr>
          <w:rFonts w:hint="eastAsia"/>
          <w:b/>
          <w:lang w:val="en-US" w:eastAsia="zh-CN"/>
        </w:rPr>
        <w:t>1</w:t>
      </w:r>
      <w:r>
        <w:rPr>
          <w:rFonts w:hint="eastAsia"/>
          <w:lang w:val="en-US" w:eastAsia="zh-CN"/>
        </w:rPr>
        <w:t>: Within DRS burst set, if there is an empty symbol/gap between DRS bursts</w:t>
      </w:r>
      <w:r>
        <w:rPr>
          <w:lang w:val="en-US" w:eastAsia="zh-CN"/>
        </w:rPr>
        <w:t xml:space="preserve"> </w:t>
      </w:r>
      <w:r>
        <w:rPr>
          <w:rFonts w:hint="eastAsia"/>
          <w:lang w:val="en-US" w:eastAsia="zh-CN"/>
        </w:rPr>
        <w:t>(half-slot), Cat</w:t>
      </w:r>
      <w:r>
        <w:rPr>
          <w:lang w:val="en-US" w:eastAsia="zh-CN"/>
        </w:rPr>
        <w:t>-</w:t>
      </w:r>
      <w:r>
        <w:rPr>
          <w:rFonts w:hint="eastAsia"/>
          <w:lang w:val="en-US" w:eastAsia="zh-CN"/>
        </w:rPr>
        <w:t xml:space="preserve">2 LBT can try to be performed as shown in Figure 8. </w:t>
      </w:r>
    </w:p>
    <w:p>
      <w:pPr>
        <w:spacing w:before="120" w:after="120" w:line="240" w:lineRule="auto"/>
        <w:jc w:val="center"/>
      </w:pPr>
      <w:r>
        <w:object>
          <v:shape id="_x0000_i1031" o:spt="75" type="#_x0000_t75" style="height:156.5pt;width:465.5pt;" o:ole="t" filled="f" o:preferrelative="t" stroked="f" coordsize="21600,21600">
            <v:path/>
            <v:fill on="f" focussize="0,0"/>
            <v:stroke on="f" joinstyle="miter"/>
            <v:imagedata r:id="rId20" o:title=""/>
            <o:lock v:ext="edit" aspectratio="t"/>
            <w10:wrap type="none"/>
            <w10:anchorlock/>
          </v:shape>
          <o:OLEObject Type="Embed" ProgID="Visio.Drawing.11" ShapeID="_x0000_i1031" DrawAspect="Content" ObjectID="_1468075731" r:id="rId19">
            <o:LockedField>false</o:LockedField>
          </o:OLEObject>
        </w:object>
      </w:r>
    </w:p>
    <w:p>
      <w:pPr>
        <w:tabs>
          <w:tab w:val="left" w:pos="450"/>
          <w:tab w:val="left" w:pos="720"/>
        </w:tabs>
        <w:spacing w:before="120" w:after="120" w:line="240" w:lineRule="auto"/>
        <w:jc w:val="center"/>
        <w:rPr>
          <w:b/>
          <w:bCs/>
          <w:lang w:val="en-US" w:eastAsia="zh-CN"/>
        </w:rPr>
      </w:pPr>
      <w:r>
        <w:rPr>
          <w:rFonts w:hint="eastAsia"/>
          <w:b/>
          <w:bCs/>
          <w:lang w:val="en-US" w:eastAsia="zh-CN"/>
        </w:rPr>
        <w:t>Figure8. A</w:t>
      </w:r>
      <w:r>
        <w:rPr>
          <w:b/>
          <w:bCs/>
          <w:lang w:val="en-US" w:eastAsia="zh-CN"/>
        </w:rPr>
        <w:t>n</w:t>
      </w:r>
      <w:r>
        <w:rPr>
          <w:rFonts w:hint="eastAsia"/>
          <w:b/>
          <w:bCs/>
          <w:lang w:val="en-US" w:eastAsia="zh-CN"/>
        </w:rPr>
        <w:t xml:space="preserve"> example of LBT for DRS burst set and DRS burst</w:t>
      </w:r>
    </w:p>
    <w:p>
      <w:pPr>
        <w:tabs>
          <w:tab w:val="left" w:pos="450"/>
          <w:tab w:val="left" w:pos="720"/>
        </w:tabs>
        <w:spacing w:before="137" w:beforeLines="50" w:after="137" w:afterLines="50" w:line="240" w:lineRule="auto"/>
        <w:jc w:val="both"/>
        <w:rPr>
          <w:lang w:val="en-US" w:eastAsia="zh-CN"/>
        </w:rPr>
      </w:pPr>
      <w:r>
        <w:rPr>
          <w:rFonts w:hint="eastAsia"/>
          <w:b/>
          <w:lang w:val="en-US" w:eastAsia="zh-CN"/>
        </w:rPr>
        <w:t>Case</w:t>
      </w:r>
      <w:r>
        <w:rPr>
          <w:b/>
          <w:lang w:val="en-US" w:eastAsia="zh-CN"/>
        </w:rPr>
        <w:t xml:space="preserve"> </w:t>
      </w:r>
      <w:r>
        <w:rPr>
          <w:rFonts w:hint="eastAsia"/>
          <w:b/>
          <w:lang w:val="en-US" w:eastAsia="zh-CN"/>
        </w:rPr>
        <w:t>2</w:t>
      </w:r>
      <w:r>
        <w:rPr>
          <w:rFonts w:hint="eastAsia"/>
          <w:lang w:val="en-US" w:eastAsia="zh-CN"/>
        </w:rPr>
        <w:t>: Within DRS transmission window, if a new DRS burst set is initiated by gNB and its duration is smaller than or equal to 1</w:t>
      </w:r>
      <w:r>
        <w:rPr>
          <w:lang w:val="en-US" w:eastAsia="zh-CN"/>
        </w:rPr>
        <w:t xml:space="preserve"> </w:t>
      </w:r>
      <w:r>
        <w:rPr>
          <w:rFonts w:hint="eastAsia"/>
          <w:lang w:val="en-US" w:eastAsia="zh-CN"/>
        </w:rPr>
        <w:t>ms and the total duty cycle of DRS transmission in a DRS burst set period is not larger than 1/20, then Cat</w:t>
      </w:r>
      <w:r>
        <w:rPr>
          <w:lang w:val="en-US" w:eastAsia="zh-CN"/>
        </w:rPr>
        <w:t>-</w:t>
      </w:r>
      <w:r>
        <w:rPr>
          <w:rFonts w:hint="eastAsia"/>
          <w:lang w:val="en-US" w:eastAsia="zh-CN"/>
        </w:rPr>
        <w:t xml:space="preserve">2 LBT can try to be adapted before this new DRS burst set as shown in Figure 9. </w:t>
      </w:r>
      <w:r>
        <w:rPr>
          <w:lang w:val="en-US" w:eastAsia="zh-CN"/>
        </w:rPr>
        <w:t xml:space="preserve">In </w:t>
      </w:r>
      <w:r>
        <w:rPr>
          <w:rFonts w:hint="eastAsia"/>
          <w:lang w:val="en-US" w:eastAsia="zh-CN"/>
        </w:rPr>
        <w:t>another case, if gNB uses Cat</w:t>
      </w:r>
      <w:r>
        <w:rPr>
          <w:lang w:val="en-US" w:eastAsia="zh-CN"/>
        </w:rPr>
        <w:t>-</w:t>
      </w:r>
      <w:r>
        <w:rPr>
          <w:rFonts w:hint="eastAsia"/>
          <w:lang w:val="en-US" w:eastAsia="zh-CN"/>
        </w:rPr>
        <w:t>4 LBT to detect channel busy all the time and only a few SSB candidate positions remain before the ending of DRS transmission window, then it can be considered to use Cat</w:t>
      </w:r>
      <w:r>
        <w:rPr>
          <w:lang w:val="en-US" w:eastAsia="zh-CN"/>
        </w:rPr>
        <w:t>-</w:t>
      </w:r>
      <w:r>
        <w:rPr>
          <w:rFonts w:hint="eastAsia"/>
          <w:lang w:val="en-US" w:eastAsia="zh-CN"/>
        </w:rPr>
        <w:t>2 LBT for DRS burst set transmission.</w:t>
      </w:r>
    </w:p>
    <w:p>
      <w:pPr>
        <w:tabs>
          <w:tab w:val="left" w:pos="450"/>
          <w:tab w:val="left" w:pos="720"/>
        </w:tabs>
        <w:spacing w:before="120" w:after="120" w:line="240" w:lineRule="auto"/>
        <w:jc w:val="center"/>
        <w:rPr>
          <w:lang w:val="en-US" w:eastAsia="zh-CN"/>
        </w:rPr>
      </w:pPr>
      <w:r>
        <w:object>
          <v:shape id="_x0000_i1032" o:spt="75" type="#_x0000_t75" style="height:170.5pt;width:466.5pt;" o:ole="t" filled="f" o:preferrelative="t" stroked="f" coordsize="21600,21600">
            <v:path/>
            <v:fill on="f" focussize="0,0"/>
            <v:stroke on="f" joinstyle="miter"/>
            <v:imagedata r:id="rId22" o:title=""/>
            <o:lock v:ext="edit" aspectratio="t"/>
            <w10:wrap type="none"/>
            <w10:anchorlock/>
          </v:shape>
          <o:OLEObject Type="Embed" ProgID="Visio.Drawing.11" ShapeID="_x0000_i1032" DrawAspect="Content" ObjectID="_1468075732" r:id="rId21">
            <o:LockedField>false</o:LockedField>
          </o:OLEObject>
        </w:object>
      </w:r>
    </w:p>
    <w:p>
      <w:pPr>
        <w:tabs>
          <w:tab w:val="left" w:pos="450"/>
          <w:tab w:val="left" w:pos="720"/>
        </w:tabs>
        <w:spacing w:before="120" w:after="120" w:line="240" w:lineRule="auto"/>
        <w:jc w:val="center"/>
        <w:rPr>
          <w:b/>
          <w:bCs/>
          <w:lang w:val="en-US" w:eastAsia="zh-CN"/>
        </w:rPr>
      </w:pPr>
      <w:r>
        <w:rPr>
          <w:rFonts w:hint="eastAsia"/>
          <w:b/>
          <w:bCs/>
          <w:lang w:val="en-US" w:eastAsia="zh-CN"/>
        </w:rPr>
        <w:t>Figure9, A</w:t>
      </w:r>
      <w:r>
        <w:rPr>
          <w:b/>
          <w:bCs/>
          <w:lang w:val="en-US" w:eastAsia="zh-CN"/>
        </w:rPr>
        <w:t>n</w:t>
      </w:r>
      <w:r>
        <w:rPr>
          <w:rFonts w:hint="eastAsia"/>
          <w:b/>
          <w:bCs/>
          <w:lang w:val="en-US" w:eastAsia="zh-CN"/>
        </w:rPr>
        <w:t xml:space="preserve"> example of LBT for DRS burst set and DRS burst transmission (total duty cycle &gt;1/20)</w:t>
      </w:r>
    </w:p>
    <w:p>
      <w:pPr>
        <w:tabs>
          <w:tab w:val="left" w:pos="450"/>
          <w:tab w:val="left" w:pos="720"/>
        </w:tabs>
        <w:spacing w:before="137" w:beforeLines="50" w:after="137" w:afterLines="50" w:line="240" w:lineRule="auto"/>
        <w:jc w:val="both"/>
        <w:rPr>
          <w:lang w:val="en-US" w:eastAsia="zh-CN"/>
        </w:rPr>
      </w:pPr>
      <w:r>
        <w:rPr>
          <w:rFonts w:hint="eastAsia"/>
          <w:b/>
          <w:lang w:val="en-US" w:eastAsia="zh-CN"/>
        </w:rPr>
        <w:t>Case</w:t>
      </w:r>
      <w:r>
        <w:rPr>
          <w:b/>
          <w:lang w:val="en-US" w:eastAsia="zh-CN"/>
        </w:rPr>
        <w:t xml:space="preserve"> </w:t>
      </w:r>
      <w:r>
        <w:rPr>
          <w:rFonts w:hint="eastAsia"/>
          <w:b/>
          <w:lang w:val="en-US" w:eastAsia="zh-CN"/>
        </w:rPr>
        <w:t>3</w:t>
      </w:r>
      <w:r>
        <w:rPr>
          <w:rFonts w:hint="eastAsia"/>
          <w:lang w:val="en-US" w:eastAsia="zh-CN"/>
        </w:rPr>
        <w:t>: Before DRS burst set that only occupies 1ms channel time, which is similar to LTE-LAA DRS. Cat</w:t>
      </w:r>
      <w:r>
        <w:rPr>
          <w:lang w:val="en-US" w:eastAsia="zh-CN"/>
        </w:rPr>
        <w:t>-</w:t>
      </w:r>
      <w:r>
        <w:rPr>
          <w:rFonts w:hint="eastAsia"/>
          <w:lang w:val="en-US" w:eastAsia="zh-CN"/>
        </w:rPr>
        <w:t>2 LBT can be considered, as shown in Figure 10. However, if the length of DRS burst set is larger than 1</w:t>
      </w:r>
      <w:r>
        <w:rPr>
          <w:lang w:val="en-US" w:eastAsia="zh-CN"/>
        </w:rPr>
        <w:t xml:space="preserve"> </w:t>
      </w:r>
      <w:r>
        <w:rPr>
          <w:rFonts w:hint="eastAsia"/>
          <w:lang w:val="en-US" w:eastAsia="zh-CN"/>
        </w:rPr>
        <w:t>ms or duty cycle is larger than 1/20 in the next period of DRS burst set, then Cat</w:t>
      </w:r>
      <w:r>
        <w:rPr>
          <w:lang w:val="en-US" w:eastAsia="zh-CN"/>
        </w:rPr>
        <w:t>-</w:t>
      </w:r>
      <w:r>
        <w:rPr>
          <w:rFonts w:hint="eastAsia"/>
          <w:lang w:val="en-US" w:eastAsia="zh-CN"/>
        </w:rPr>
        <w:t xml:space="preserve">4 LBT should be performed. </w:t>
      </w:r>
    </w:p>
    <w:p>
      <w:pPr>
        <w:tabs>
          <w:tab w:val="left" w:pos="450"/>
          <w:tab w:val="left" w:pos="720"/>
        </w:tabs>
        <w:spacing w:before="120" w:after="120" w:line="240" w:lineRule="auto"/>
        <w:jc w:val="center"/>
      </w:pPr>
      <w:r>
        <w:object>
          <v:shape id="_x0000_i1033" o:spt="75" type="#_x0000_t75" style="height:173.5pt;width:469.5pt;" o:ole="t" filled="f" o:preferrelative="t" stroked="f" coordsize="21600,21600">
            <v:path/>
            <v:fill on="f" focussize="0,0"/>
            <v:stroke on="f" joinstyle="miter"/>
            <v:imagedata r:id="rId24" o:title=""/>
            <o:lock v:ext="edit" aspectratio="t"/>
            <w10:wrap type="none"/>
            <w10:anchorlock/>
          </v:shape>
          <o:OLEObject Type="Embed" ProgID="Visio.Drawing.11" ShapeID="_x0000_i1033" DrawAspect="Content" ObjectID="_1468075733" r:id="rId23">
            <o:LockedField>false</o:LockedField>
          </o:OLEObject>
        </w:object>
      </w:r>
    </w:p>
    <w:p>
      <w:pPr>
        <w:tabs>
          <w:tab w:val="left" w:pos="450"/>
          <w:tab w:val="left" w:pos="720"/>
        </w:tabs>
        <w:spacing w:before="120" w:after="120" w:line="240" w:lineRule="auto"/>
        <w:jc w:val="center"/>
        <w:rPr>
          <w:b/>
          <w:bCs/>
          <w:lang w:val="en-US" w:eastAsia="zh-CN"/>
        </w:rPr>
      </w:pPr>
      <w:r>
        <w:rPr>
          <w:rFonts w:hint="eastAsia"/>
          <w:b/>
          <w:bCs/>
          <w:lang w:val="en-US" w:eastAsia="zh-CN"/>
        </w:rPr>
        <w:t>Figure10.</w:t>
      </w:r>
      <w:r>
        <w:rPr>
          <w:b/>
          <w:bCs/>
          <w:lang w:val="en-US" w:eastAsia="zh-CN"/>
        </w:rPr>
        <w:t xml:space="preserve"> </w:t>
      </w:r>
      <w:r>
        <w:rPr>
          <w:rFonts w:hint="eastAsia"/>
          <w:b/>
          <w:bCs/>
          <w:lang w:val="en-US" w:eastAsia="zh-CN"/>
        </w:rPr>
        <w:t>A</w:t>
      </w:r>
      <w:r>
        <w:rPr>
          <w:b/>
          <w:bCs/>
          <w:lang w:val="en-US" w:eastAsia="zh-CN"/>
        </w:rPr>
        <w:t>n</w:t>
      </w:r>
      <w:r>
        <w:rPr>
          <w:rFonts w:hint="eastAsia"/>
          <w:b/>
          <w:bCs/>
          <w:lang w:val="en-US" w:eastAsia="zh-CN"/>
        </w:rPr>
        <w:t xml:space="preserve"> example of LBT for DRS burst set &gt;= 1</w:t>
      </w:r>
      <w:r>
        <w:rPr>
          <w:b/>
          <w:bCs/>
          <w:lang w:val="en-US" w:eastAsia="zh-CN"/>
        </w:rPr>
        <w:t xml:space="preserve"> </w:t>
      </w:r>
      <w:r>
        <w:rPr>
          <w:rFonts w:hint="eastAsia"/>
          <w:b/>
          <w:bCs/>
          <w:lang w:val="en-US" w:eastAsia="zh-CN"/>
        </w:rPr>
        <w:t>ms</w:t>
      </w:r>
    </w:p>
    <w:p>
      <w:pPr>
        <w:tabs>
          <w:tab w:val="left" w:pos="450"/>
          <w:tab w:val="left" w:pos="720"/>
        </w:tabs>
        <w:spacing w:before="137" w:beforeLines="50" w:after="137" w:afterLines="50" w:line="240" w:lineRule="auto"/>
        <w:jc w:val="both"/>
        <w:rPr>
          <w:lang w:val="en-US" w:eastAsia="zh-CN"/>
        </w:rPr>
      </w:pPr>
      <w:r>
        <w:rPr>
          <w:rFonts w:hint="eastAsia"/>
          <w:b/>
          <w:lang w:val="en-US" w:eastAsia="zh-CN"/>
        </w:rPr>
        <w:t>Case</w:t>
      </w:r>
      <w:r>
        <w:rPr>
          <w:b/>
          <w:lang w:val="en-US" w:eastAsia="zh-CN"/>
        </w:rPr>
        <w:t xml:space="preserve"> </w:t>
      </w:r>
      <w:r>
        <w:rPr>
          <w:rFonts w:hint="eastAsia"/>
          <w:b/>
          <w:lang w:val="en-US" w:eastAsia="zh-CN"/>
        </w:rPr>
        <w:t>4</w:t>
      </w:r>
      <w:r>
        <w:rPr>
          <w:rFonts w:hint="eastAsia"/>
          <w:lang w:val="en-US" w:eastAsia="zh-CN"/>
        </w:rPr>
        <w:t>: If the adjacent two SSBs</w:t>
      </w:r>
      <w:r>
        <w:rPr>
          <w:lang w:val="en-US" w:eastAsia="zh-CN"/>
        </w:rPr>
        <w:t xml:space="preserve"> </w:t>
      </w:r>
      <w:r>
        <w:rPr>
          <w:rFonts w:hint="eastAsia"/>
          <w:lang w:val="en-US" w:eastAsia="zh-CN"/>
        </w:rPr>
        <w:t>(DRS bursts</w:t>
      </w:r>
      <w:r>
        <w:rPr>
          <w:lang w:val="en-US" w:eastAsia="zh-CN"/>
        </w:rPr>
        <w:t xml:space="preserve"> </w:t>
      </w:r>
      <w:r>
        <w:rPr>
          <w:rFonts w:hint="eastAsia"/>
          <w:lang w:val="en-US" w:eastAsia="zh-CN"/>
        </w:rPr>
        <w:t>(half-slot)) within DRS burst set is non-QCL’d relationship and there is a gap between non-QCL’d SSB or beam switching occurs, Cat</w:t>
      </w:r>
      <w:r>
        <w:rPr>
          <w:lang w:val="en-US" w:eastAsia="zh-CN"/>
        </w:rPr>
        <w:t>-</w:t>
      </w:r>
      <w:r>
        <w:rPr>
          <w:rFonts w:hint="eastAsia"/>
          <w:lang w:val="en-US" w:eastAsia="zh-CN"/>
        </w:rPr>
        <w:t>2 LBT can be used in order to fast access channel and accurately access current channel status. Preferably, directional LBT can be performed for beam-based SSB transmission within DRS burst.</w:t>
      </w:r>
    </w:p>
    <w:p>
      <w:pPr>
        <w:tabs>
          <w:tab w:val="left" w:pos="450"/>
          <w:tab w:val="left" w:pos="720"/>
        </w:tabs>
        <w:spacing w:before="137" w:beforeLines="50" w:after="137" w:afterLines="50" w:line="240" w:lineRule="auto"/>
        <w:jc w:val="both"/>
        <w:rPr>
          <w:lang w:val="en-US" w:eastAsia="zh-CN"/>
        </w:rPr>
      </w:pPr>
      <w:r>
        <w:rPr>
          <w:rFonts w:hint="eastAsia"/>
          <w:b/>
          <w:lang w:val="en-US" w:eastAsia="zh-CN"/>
        </w:rPr>
        <w:t>Case</w:t>
      </w:r>
      <w:r>
        <w:rPr>
          <w:b/>
          <w:lang w:val="en-US" w:eastAsia="zh-CN"/>
        </w:rPr>
        <w:t xml:space="preserve"> </w:t>
      </w:r>
      <w:r>
        <w:rPr>
          <w:rFonts w:hint="eastAsia"/>
          <w:b/>
          <w:lang w:val="en-US" w:eastAsia="zh-CN"/>
        </w:rPr>
        <w:t>5</w:t>
      </w:r>
      <w:r>
        <w:rPr>
          <w:rFonts w:hint="eastAsia"/>
          <w:lang w:val="en-US" w:eastAsia="zh-CN"/>
        </w:rPr>
        <w:t>: Cat</w:t>
      </w:r>
      <w:r>
        <w:rPr>
          <w:lang w:val="en-US" w:eastAsia="zh-CN"/>
        </w:rPr>
        <w:t>-</w:t>
      </w:r>
      <w:r>
        <w:rPr>
          <w:rFonts w:hint="eastAsia"/>
          <w:lang w:val="en-US" w:eastAsia="zh-CN"/>
        </w:rPr>
        <w:t xml:space="preserve">2 LBT mechanism can also be considered for the wideband or CA scenarios, which is similar to LTE-LAA multiple CCs (e.g., Type A/B) manner. </w:t>
      </w:r>
    </w:p>
    <w:p>
      <w:pPr>
        <w:tabs>
          <w:tab w:val="left" w:pos="450"/>
          <w:tab w:val="left" w:pos="720"/>
        </w:tabs>
        <w:spacing w:before="137" w:beforeLines="50" w:after="137" w:afterLines="50" w:line="240" w:lineRule="auto"/>
        <w:rPr>
          <w:lang w:val="en-US" w:eastAsia="zh-CN"/>
        </w:rPr>
      </w:pPr>
      <w:r>
        <w:rPr>
          <w:rFonts w:hint="eastAsia"/>
          <w:lang w:val="en-US" w:eastAsia="zh-CN"/>
        </w:rPr>
        <w:t>Based on the above analysis, the LBT mechanism for DRS transmission should be considered according to different situations.</w:t>
      </w:r>
    </w:p>
    <w:p>
      <w:pPr>
        <w:spacing w:before="137" w:beforeLines="50" w:after="137" w:afterLines="50" w:line="240" w:lineRule="auto"/>
        <w:jc w:val="both"/>
        <w:rPr>
          <w:i/>
          <w:iCs/>
          <w:lang w:val="en-US" w:eastAsia="zh-CN"/>
        </w:rPr>
      </w:pPr>
      <w:r>
        <w:rPr>
          <w:rFonts w:hint="eastAsia"/>
          <w:b/>
          <w:bCs/>
          <w:lang w:val="en-US" w:eastAsia="zh-CN"/>
        </w:rPr>
        <w:t xml:space="preserve">Proposal 10: </w:t>
      </w:r>
      <w:r>
        <w:rPr>
          <w:rFonts w:hint="eastAsia"/>
          <w:i/>
          <w:iCs/>
          <w:lang w:val="en-US" w:eastAsia="zh-CN"/>
        </w:rPr>
        <w:t>Cat</w:t>
      </w:r>
      <w:r>
        <w:rPr>
          <w:i/>
          <w:iCs/>
          <w:lang w:val="en-US" w:eastAsia="zh-CN"/>
        </w:rPr>
        <w:t>-</w:t>
      </w:r>
      <w:r>
        <w:rPr>
          <w:rFonts w:hint="eastAsia"/>
          <w:i/>
          <w:iCs/>
          <w:lang w:val="en-US" w:eastAsia="zh-CN"/>
        </w:rPr>
        <w:t>4 LBT can be used for the following cases:</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Before the DRS multiplexed with unicast date are transmitted</w:t>
      </w:r>
      <w:r>
        <w:rPr>
          <w:rFonts w:eastAsia="宋体"/>
          <w:bCs/>
          <w:i/>
          <w:iCs/>
          <w:lang w:val="en-US" w:eastAsia="zh-CN"/>
        </w:rPr>
        <w:t xml:space="preserve"> </w:t>
      </w:r>
      <w:r>
        <w:rPr>
          <w:rFonts w:hint="eastAsia" w:eastAsia="宋体"/>
          <w:bCs/>
          <w:i/>
          <w:iCs/>
          <w:lang w:val="en-US" w:eastAsia="zh-CN"/>
        </w:rPr>
        <w:t>(</w:t>
      </w:r>
      <w:r>
        <w:rPr>
          <w:rFonts w:eastAsia="宋体"/>
          <w:bCs/>
          <w:i/>
          <w:iCs/>
          <w:lang w:val="en-US" w:eastAsia="zh-CN"/>
        </w:rPr>
        <w:t>a</w:t>
      </w:r>
      <w:r>
        <w:rPr>
          <w:rFonts w:hint="eastAsia" w:eastAsia="宋体"/>
          <w:bCs/>
          <w:i/>
          <w:iCs/>
          <w:lang w:val="en-US" w:eastAsia="zh-CN"/>
        </w:rPr>
        <w:t>greed in RAN1#96).</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Before DRS burst set starts transmission and DRS burst set duration is larger than 1</w:t>
      </w:r>
      <w:r>
        <w:rPr>
          <w:rFonts w:eastAsia="宋体"/>
          <w:bCs/>
          <w:i/>
          <w:iCs/>
          <w:lang w:val="en-US" w:eastAsia="zh-CN"/>
        </w:rPr>
        <w:t xml:space="preserve"> </w:t>
      </w:r>
      <w:r>
        <w:rPr>
          <w:rFonts w:hint="eastAsia" w:eastAsia="宋体"/>
          <w:bCs/>
          <w:i/>
          <w:iCs/>
          <w:lang w:val="en-US" w:eastAsia="zh-CN"/>
        </w:rPr>
        <w:t>ms or the total duty cycle of DRS transmission in DRS burst set period is larger than 1/20.</w:t>
      </w:r>
    </w:p>
    <w:p>
      <w:pPr>
        <w:spacing w:before="137" w:beforeLines="50" w:after="137" w:afterLines="50" w:line="240" w:lineRule="auto"/>
        <w:jc w:val="both"/>
        <w:rPr>
          <w:i/>
          <w:iCs/>
          <w:lang w:val="en-US" w:eastAsia="zh-CN"/>
        </w:rPr>
      </w:pPr>
      <w:r>
        <w:rPr>
          <w:rFonts w:hint="eastAsia"/>
          <w:b/>
          <w:bCs/>
          <w:lang w:val="en-US" w:eastAsia="zh-CN"/>
        </w:rPr>
        <w:t xml:space="preserve">Proposal 11: </w:t>
      </w:r>
      <w:r>
        <w:rPr>
          <w:rFonts w:hint="eastAsia"/>
          <w:i/>
          <w:iCs/>
          <w:lang w:val="en-US" w:eastAsia="zh-CN"/>
        </w:rPr>
        <w:t>Cat</w:t>
      </w:r>
      <w:r>
        <w:rPr>
          <w:i/>
          <w:iCs/>
          <w:lang w:val="en-US" w:eastAsia="zh-CN"/>
        </w:rPr>
        <w:t>-</w:t>
      </w:r>
      <w:r>
        <w:rPr>
          <w:rFonts w:hint="eastAsia"/>
          <w:i/>
          <w:iCs/>
          <w:lang w:val="en-US" w:eastAsia="zh-CN"/>
        </w:rPr>
        <w:t>2 LBT can be considered to be used in the following situations:</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Case 1: Within DRS burst set, if there is an empty symbol/gap between DRS bursts</w:t>
      </w:r>
      <w:r>
        <w:rPr>
          <w:rFonts w:eastAsia="宋体"/>
          <w:bCs/>
          <w:i/>
          <w:iCs/>
          <w:lang w:val="en-US" w:eastAsia="zh-CN"/>
        </w:rPr>
        <w:t xml:space="preserve"> </w:t>
      </w:r>
      <w:r>
        <w:rPr>
          <w:rFonts w:hint="eastAsia" w:eastAsia="宋体"/>
          <w:bCs/>
          <w:i/>
          <w:iCs/>
          <w:lang w:val="en-US" w:eastAsia="zh-CN"/>
        </w:rPr>
        <w:t>(half-slot),.</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Case 2: Within DRS transmission window, if a new DRS burst set is initiated by gNB and its duration is smaller than or equal to 1ms and the total duty cycle of DRS transmission in a DRS burst set period is not larger than 1/20, or if gNB uses Cat4 LBT to detect channel busy all the time and only a few SSB candidate positions (e.g., 2 SSBs) remain before the ending of DRS transmission window.</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Case 3: Before DRS burst set that only occupies 1</w:t>
      </w:r>
      <w:r>
        <w:rPr>
          <w:rFonts w:eastAsia="宋体"/>
          <w:bCs/>
          <w:i/>
          <w:iCs/>
          <w:lang w:val="en-US" w:eastAsia="zh-CN"/>
        </w:rPr>
        <w:t xml:space="preserve"> </w:t>
      </w:r>
      <w:r>
        <w:rPr>
          <w:rFonts w:hint="eastAsia" w:eastAsia="宋体"/>
          <w:bCs/>
          <w:i/>
          <w:iCs/>
          <w:lang w:val="en-US" w:eastAsia="zh-CN"/>
        </w:rPr>
        <w:t>ms channel time, which is similar to LTE-LAA DRS.</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Case 4: If the adjacent two SSBs</w:t>
      </w:r>
      <w:r>
        <w:rPr>
          <w:rFonts w:eastAsia="宋体"/>
          <w:bCs/>
          <w:i/>
          <w:iCs/>
          <w:lang w:val="en-US" w:eastAsia="zh-CN"/>
        </w:rPr>
        <w:t xml:space="preserve"> </w:t>
      </w:r>
      <w:r>
        <w:rPr>
          <w:rFonts w:hint="eastAsia" w:eastAsia="宋体"/>
          <w:bCs/>
          <w:i/>
          <w:iCs/>
          <w:lang w:val="en-US" w:eastAsia="zh-CN"/>
        </w:rPr>
        <w:t>(DRS bursts</w:t>
      </w:r>
      <w:r>
        <w:rPr>
          <w:rFonts w:eastAsia="宋体"/>
          <w:bCs/>
          <w:i/>
          <w:iCs/>
          <w:lang w:val="en-US" w:eastAsia="zh-CN"/>
        </w:rPr>
        <w:t xml:space="preserve"> </w:t>
      </w:r>
      <w:r>
        <w:rPr>
          <w:rFonts w:hint="eastAsia" w:eastAsia="宋体"/>
          <w:bCs/>
          <w:i/>
          <w:iCs/>
          <w:lang w:val="en-US" w:eastAsia="zh-CN"/>
        </w:rPr>
        <w:t>(half-slot)) within DRS burst set is non-QCL’d relationship and there is a gap between non-QCL’d SSB.</w:t>
      </w:r>
    </w:p>
    <w:p>
      <w:pPr>
        <w:numPr>
          <w:ilvl w:val="0"/>
          <w:numId w:val="13"/>
        </w:numPr>
        <w:spacing w:before="137" w:beforeLines="50" w:after="137" w:afterLines="50" w:line="240" w:lineRule="auto"/>
        <w:ind w:left="1680"/>
        <w:jc w:val="both"/>
        <w:rPr>
          <w:rFonts w:eastAsia="宋体"/>
          <w:bCs/>
          <w:i/>
          <w:iCs/>
          <w:lang w:val="en-US" w:eastAsia="zh-CN"/>
        </w:rPr>
      </w:pPr>
      <w:r>
        <w:rPr>
          <w:rFonts w:hint="eastAsia" w:eastAsia="宋体"/>
          <w:bCs/>
          <w:i/>
          <w:iCs/>
          <w:lang w:val="en-US" w:eastAsia="zh-CN"/>
        </w:rPr>
        <w:t>Preferably, directional LBT can be performed for beam-based SSB transmission within DRS burst.</w:t>
      </w:r>
    </w:p>
    <w:p>
      <w:pPr>
        <w:numPr>
          <w:ilvl w:val="0"/>
          <w:numId w:val="12"/>
        </w:numPr>
        <w:spacing w:before="137" w:beforeLines="50" w:after="137" w:afterLines="50" w:line="240" w:lineRule="auto"/>
        <w:ind w:left="1260"/>
        <w:jc w:val="both"/>
        <w:rPr>
          <w:i/>
          <w:iCs/>
          <w:lang w:val="en-US" w:eastAsia="zh-CN"/>
        </w:rPr>
      </w:pPr>
      <w:r>
        <w:rPr>
          <w:rFonts w:hint="eastAsia" w:eastAsia="宋体"/>
          <w:bCs/>
          <w:i/>
          <w:iCs/>
          <w:lang w:val="en-US" w:eastAsia="zh-CN"/>
        </w:rPr>
        <w:t>Case 5: for case where multiple sub-band case in the wideband operation or multiple carriers/BWPs case.</w:t>
      </w:r>
    </w:p>
    <w:p>
      <w:pPr>
        <w:pStyle w:val="4"/>
        <w:spacing w:before="120" w:after="120" w:line="240" w:lineRule="auto"/>
        <w:rPr>
          <w:rFonts w:hint="eastAsia" w:ascii="Times New Roman" w:hAnsi="Times New Roman" w:eastAsia="宋体" w:cs="Times New Roman"/>
          <w:b/>
          <w:bCs w:val="0"/>
          <w:sz w:val="21"/>
          <w:szCs w:val="21"/>
          <w:lang w:val="en-US" w:eastAsia="zh-CN"/>
        </w:rPr>
      </w:pPr>
      <w:r>
        <w:rPr>
          <w:rFonts w:hint="eastAsia" w:ascii="Times New Roman" w:hAnsi="Times New Roman" w:eastAsia="宋体" w:cs="Times New Roman"/>
          <w:b/>
          <w:bCs w:val="0"/>
          <w:sz w:val="21"/>
          <w:szCs w:val="21"/>
          <w:lang w:val="en-US" w:eastAsia="zh-CN"/>
        </w:rPr>
        <w:t xml:space="preserve"> The maximum number of Cat2 LBT attempts in a 5ms DRS transmission window</w:t>
      </w:r>
    </w:p>
    <w:p>
      <w:pPr>
        <w:spacing w:before="137" w:beforeLines="50" w:after="137" w:afterLines="50" w:line="240" w:lineRule="auto"/>
        <w:jc w:val="both"/>
        <w:rPr>
          <w:rFonts w:hint="eastAsia"/>
          <w:lang w:val="en-US" w:eastAsia="zh-CN"/>
        </w:rPr>
      </w:pPr>
      <w:r>
        <w:rPr>
          <w:rFonts w:hint="eastAsia"/>
          <w:lang w:val="en-US" w:eastAsia="zh-CN"/>
        </w:rPr>
        <w:t xml:space="preserve">Within a 5ms DRS transmission window,  the number of candidate SSB positions Y is 10 for 15kHz SCS and 20 for 30kHz SCS. Further, since one SSB is defined in each half slot, it is natural to set a DRS shift granularity to be a half slot, which is beneficial to increase DRS transmission opportunities. Therefore, we propose that gNB can attempt Cat-2 LBT for any candidate SSB position within a 5ms DRS transmission window. If channel is said to be idle by using Cat-2 LBT, then gNB will start transmission DRS burst set immediately from the first available SSB position. Besides, If the number of SSBs that need to be actually transmitted is larger than the number of SSBs contained in the DRS burst set that has been transmitted currently, a new Cat-2 LBT should be performed before the remaining SSB contained in the next DRS burst set are transmitted. </w:t>
      </w:r>
    </w:p>
    <w:p>
      <w:pPr>
        <w:spacing w:before="137" w:beforeLines="50" w:after="137" w:afterLines="50" w:line="240" w:lineRule="auto"/>
        <w:jc w:val="both"/>
        <w:rPr>
          <w:rFonts w:hint="eastAsia"/>
          <w:lang w:val="en-US" w:eastAsia="zh-CN"/>
        </w:rPr>
      </w:pPr>
      <w:r>
        <w:rPr>
          <w:rFonts w:hint="eastAsia"/>
          <w:lang w:val="en-US" w:eastAsia="zh-CN"/>
        </w:rPr>
        <w:t>On the other hand, we do not also see a need for restriction the maximum number of Cat2 LBT attempts. If it is limited only to friendly coexistence with Wi-Fi, we think that it has been shown with performing Cat-2 LBT on each DRS burst set or candidate SSB transmission. Further, if you blindly limit the number of Cat-2 LBT attempts, then it will impede DRS transmission and be harmful to the standalone scenario.</w:t>
      </w:r>
    </w:p>
    <w:p>
      <w:pPr>
        <w:spacing w:before="137" w:beforeLines="50" w:after="137" w:afterLines="50" w:line="240" w:lineRule="auto"/>
        <w:jc w:val="both"/>
        <w:rPr>
          <w:rFonts w:hint="default"/>
          <w:lang w:val="en-US" w:eastAsia="zh-CN"/>
        </w:rPr>
      </w:pPr>
      <w:r>
        <w:rPr>
          <w:rFonts w:hint="eastAsia"/>
          <w:lang w:val="en-US" w:eastAsia="zh-CN"/>
        </w:rPr>
        <w:t>To sum up, we suggest that Cat-2 LBT can be attempted on each candidate SSB position within a 5ms DRS transmission window.</w:t>
      </w:r>
    </w:p>
    <w:p>
      <w:pPr>
        <w:numPr>
          <w:ilvl w:val="-1"/>
          <w:numId w:val="0"/>
        </w:numPr>
        <w:spacing w:before="137" w:beforeLines="50" w:after="137" w:afterLines="50" w:line="240" w:lineRule="auto"/>
        <w:ind w:left="0" w:firstLine="0"/>
        <w:jc w:val="left"/>
        <w:rPr>
          <w:rFonts w:hint="default"/>
          <w:i/>
          <w:iCs/>
          <w:lang w:val="en-US" w:eastAsia="zh-CN"/>
        </w:rPr>
      </w:pPr>
      <w:r>
        <w:rPr>
          <w:rFonts w:hint="eastAsia"/>
          <w:b/>
          <w:bCs/>
          <w:lang w:val="en-US" w:eastAsia="zh-CN"/>
        </w:rPr>
        <w:t xml:space="preserve">Proposal 12: </w:t>
      </w:r>
      <w:r>
        <w:rPr>
          <w:rFonts w:hint="eastAsia"/>
          <w:b w:val="0"/>
          <w:bCs w:val="0"/>
          <w:i/>
          <w:iCs/>
          <w:lang w:val="en-US" w:eastAsia="zh-CN"/>
        </w:rPr>
        <w:t xml:space="preserve">Considering that DRS transmission opportunities and application scenarios(e.g., Standalone Scenario), it is recommended that </w:t>
      </w:r>
      <w:r>
        <w:rPr>
          <w:rFonts w:hint="eastAsia"/>
          <w:i/>
          <w:iCs/>
          <w:lang w:val="en-US" w:eastAsia="zh-CN"/>
        </w:rPr>
        <w:t>Cat-2 LBT can be attempted on each candidate SSB position within a 5ms DRS transmission window.</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LBT for Wideband operation</w:t>
      </w:r>
    </w:p>
    <w:p>
      <w:pPr>
        <w:spacing w:before="137" w:beforeLines="50" w:after="137" w:afterLines="50" w:line="240" w:lineRule="auto"/>
        <w:jc w:val="both"/>
        <w:rPr>
          <w:lang w:val="en-US" w:eastAsia="zh-CN"/>
        </w:rPr>
      </w:pPr>
      <w:r>
        <w:rPr>
          <w:rFonts w:hint="eastAsia"/>
          <w:lang w:val="en-US" w:eastAsia="zh-CN"/>
        </w:rPr>
        <w:t xml:space="preserve">In order to transmit on the wideband carrier, a straightforward way is to perform LBT operation </w:t>
      </w:r>
      <w:r>
        <w:rPr>
          <w:lang w:val="en-US" w:eastAsia="zh-CN"/>
        </w:rPr>
        <w:t>over</w:t>
      </w:r>
      <w:r>
        <w:rPr>
          <w:rFonts w:hint="eastAsia"/>
          <w:lang w:val="en-US" w:eastAsia="zh-CN"/>
        </w:rPr>
        <w:t xml:space="preserve"> the entire wideband carrier, which can fully utilize the entire wideband carrier if LBT </w:t>
      </w:r>
      <w:r>
        <w:rPr>
          <w:lang w:val="en-US" w:eastAsia="zh-CN"/>
        </w:rPr>
        <w:t>is successful</w:t>
      </w:r>
      <w:r>
        <w:rPr>
          <w:rFonts w:hint="eastAsia"/>
          <w:lang w:val="en-US" w:eastAsia="zh-CN"/>
        </w:rPr>
        <w:t xml:space="preserve">. </w:t>
      </w:r>
      <w:r>
        <w:rPr>
          <w:lang w:val="en-US" w:eastAsia="zh-CN"/>
        </w:rPr>
        <w:t>W</w:t>
      </w:r>
      <w:r>
        <w:rPr>
          <w:rFonts w:hint="eastAsia"/>
          <w:lang w:val="en-US" w:eastAsia="zh-CN"/>
        </w:rPr>
        <w:t>hen the entire wideband carrier consist</w:t>
      </w:r>
      <w:r>
        <w:rPr>
          <w:lang w:val="en-US" w:eastAsia="zh-CN"/>
        </w:rPr>
        <w:t>s</w:t>
      </w:r>
      <w:r>
        <w:rPr>
          <w:rFonts w:hint="eastAsia"/>
          <w:lang w:val="en-US" w:eastAsia="zh-CN"/>
        </w:rPr>
        <w:t xml:space="preserve"> of multiple 20</w:t>
      </w:r>
      <w:r>
        <w:rPr>
          <w:lang w:val="en-US" w:eastAsia="zh-CN"/>
        </w:rPr>
        <w:t xml:space="preserve"> </w:t>
      </w:r>
      <w:r>
        <w:rPr>
          <w:rFonts w:hint="eastAsia"/>
          <w:lang w:val="en-US" w:eastAsia="zh-CN"/>
        </w:rPr>
        <w:t xml:space="preserve">MHz carriers, LBT of wideband carrier </w:t>
      </w:r>
      <w:r>
        <w:rPr>
          <w:lang w:val="en-US" w:eastAsia="zh-CN"/>
        </w:rPr>
        <w:t>would</w:t>
      </w:r>
      <w:r>
        <w:rPr>
          <w:rFonts w:hint="eastAsia"/>
          <w:lang w:val="en-US" w:eastAsia="zh-CN"/>
        </w:rPr>
        <w:t xml:space="preserve"> fail if any one of multiple 20</w:t>
      </w:r>
      <w:r>
        <w:rPr>
          <w:lang w:val="en-US" w:eastAsia="zh-CN"/>
        </w:rPr>
        <w:t xml:space="preserve"> </w:t>
      </w:r>
      <w:r>
        <w:rPr>
          <w:rFonts w:hint="eastAsia"/>
          <w:lang w:val="en-US" w:eastAsia="zh-CN"/>
        </w:rPr>
        <w:t xml:space="preserve">MHz carriers within wideband carrier is busy. In order to </w:t>
      </w:r>
      <w:r>
        <w:rPr>
          <w:lang w:val="en-US" w:eastAsia="zh-CN"/>
        </w:rPr>
        <w:t>increase the chance</w:t>
      </w:r>
      <w:r>
        <w:rPr>
          <w:rFonts w:hint="eastAsia"/>
          <w:lang w:val="en-US" w:eastAsia="zh-CN"/>
        </w:rPr>
        <w:t xml:space="preserve"> of channel access, </w:t>
      </w:r>
      <w:r>
        <w:rPr>
          <w:rFonts w:hint="eastAsia" w:eastAsia="宋体"/>
          <w:lang w:val="en-US" w:eastAsia="zh-CN"/>
        </w:rPr>
        <w:t>another way is to perform LBT on each 20</w:t>
      </w:r>
      <w:r>
        <w:rPr>
          <w:rFonts w:eastAsia="宋体"/>
          <w:lang w:val="en-US" w:eastAsia="zh-CN"/>
        </w:rPr>
        <w:t xml:space="preserve"> </w:t>
      </w:r>
      <w:r>
        <w:rPr>
          <w:rFonts w:hint="eastAsia" w:eastAsia="宋体"/>
          <w:lang w:val="en-US" w:eastAsia="zh-CN"/>
        </w:rPr>
        <w:t>MHz carrier. LBT for multiple carriers can be done in a similar manner as it is done for LTE-LAA multiple CCs</w:t>
      </w:r>
      <w:r>
        <w:rPr>
          <w:rFonts w:eastAsia="宋体"/>
          <w:lang w:val="en-US" w:eastAsia="zh-CN"/>
        </w:rPr>
        <w:t xml:space="preserve"> </w:t>
      </w:r>
      <w:r>
        <w:rPr>
          <w:rFonts w:hint="eastAsia" w:eastAsia="宋体"/>
          <w:lang w:val="en-US" w:eastAsia="zh-CN"/>
        </w:rPr>
        <w:t>(e.g., Type A/B) in TS 36.213 Section 15.1.5</w:t>
      </w:r>
      <w:r>
        <w:rPr>
          <w:rFonts w:eastAsia="宋体"/>
          <w:lang w:val="en-US" w:eastAsia="zh-CN"/>
        </w:rPr>
        <w:t xml:space="preserve"> </w:t>
      </w:r>
      <w:r>
        <w:rPr>
          <w:rFonts w:hint="eastAsia" w:eastAsia="宋体"/>
          <w:lang w:val="en-US" w:eastAsia="zh-CN"/>
        </w:rPr>
        <w:t>[5]. Compared with LBT of wideband carrier, LBT on multiple 20</w:t>
      </w:r>
      <w:r>
        <w:rPr>
          <w:rFonts w:eastAsia="宋体"/>
          <w:lang w:val="en-US" w:eastAsia="zh-CN"/>
        </w:rPr>
        <w:t xml:space="preserve"> </w:t>
      </w:r>
      <w:r>
        <w:rPr>
          <w:rFonts w:hint="eastAsia" w:eastAsia="宋体"/>
          <w:lang w:val="en-US" w:eastAsia="zh-CN"/>
        </w:rPr>
        <w:t>MHz carriers can improve the spectrum utilizatio</w:t>
      </w:r>
      <w:r>
        <w:rPr>
          <w:rFonts w:eastAsia="宋体"/>
          <w:lang w:val="en-US" w:eastAsia="zh-CN"/>
        </w:rPr>
        <w:t>n</w:t>
      </w:r>
      <w:r>
        <w:rPr>
          <w:rFonts w:hint="eastAsia" w:eastAsia="宋体"/>
          <w:lang w:val="en-US" w:eastAsia="zh-CN"/>
        </w:rPr>
        <w:t xml:space="preserve"> and coexistence fairness with incumbent systems. Based on this, LBT of LTE-LAA multiple CCs</w:t>
      </w:r>
      <w:r>
        <w:rPr>
          <w:rFonts w:eastAsia="宋体"/>
          <w:lang w:val="en-US" w:eastAsia="zh-CN"/>
        </w:rPr>
        <w:t xml:space="preserve"> </w:t>
      </w:r>
      <w:r>
        <w:rPr>
          <w:rFonts w:hint="eastAsia" w:eastAsia="宋体"/>
          <w:lang w:val="en-US" w:eastAsia="zh-CN"/>
        </w:rPr>
        <w:t>(e.g., Type A/B) manner can be used as starting point for research LBT for multiple carriers.</w:t>
      </w:r>
    </w:p>
    <w:p>
      <w:pPr>
        <w:pStyle w:val="124"/>
        <w:spacing w:before="137" w:beforeLines="50" w:after="137" w:afterLines="50" w:line="240" w:lineRule="auto"/>
        <w:ind w:left="0"/>
        <w:rPr>
          <w:rFonts w:hint="eastAsia"/>
          <w:lang w:val="en-US" w:eastAsia="zh-CN"/>
        </w:rPr>
      </w:pPr>
      <w:r>
        <w:rPr>
          <w:rFonts w:hint="eastAsia"/>
          <w:b/>
          <w:bCs/>
          <w:lang w:val="en-US" w:eastAsia="zh-CN"/>
        </w:rPr>
        <w:t>Proposal 13:</w:t>
      </w:r>
      <w:r>
        <w:rPr>
          <w:rFonts w:hint="eastAsia"/>
          <w:lang w:val="en-US" w:eastAsia="zh-CN"/>
        </w:rPr>
        <w:t xml:space="preserve"> </w:t>
      </w:r>
      <w:r>
        <w:rPr>
          <w:rFonts w:hint="eastAsia"/>
          <w:i/>
          <w:iCs/>
          <w:lang w:val="en-US" w:eastAsia="zh-CN"/>
        </w:rPr>
        <w:t>LBT of LTE-LAA multiple CCs (e.g., Type A/B) manner can be used as starting point for research LBT for multiple carriers.</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Directional LBT Mechanism</w:t>
      </w:r>
    </w:p>
    <w:p>
      <w:pPr>
        <w:tabs>
          <w:tab w:val="left" w:pos="450"/>
          <w:tab w:val="left" w:pos="720"/>
        </w:tabs>
        <w:spacing w:before="137" w:beforeLines="50" w:after="137" w:afterLines="50" w:line="240" w:lineRule="auto"/>
        <w:jc w:val="both"/>
        <w:rPr>
          <w:lang w:val="en-US" w:eastAsia="zh-CN"/>
        </w:rPr>
      </w:pPr>
      <w:r>
        <w:rPr>
          <w:rFonts w:hint="eastAsia"/>
          <w:lang w:val="en-US" w:eastAsia="zh-CN"/>
        </w:rPr>
        <w:t>In LTE-LAA, in order to guarantee fair coexistence with the incumbe</w:t>
      </w:r>
      <w:r>
        <w:rPr>
          <w:rFonts w:hint="eastAsia" w:eastAsia="宋体"/>
          <w:lang w:val="en-US" w:eastAsia="zh-CN"/>
        </w:rPr>
        <w:t>nt</w:t>
      </w:r>
      <w:r>
        <w:rPr>
          <w:rFonts w:hint="eastAsia"/>
          <w:lang w:val="en-US" w:eastAsia="zh-CN"/>
        </w:rPr>
        <w:t xml:space="preserve"> Wi-Fi system in the unlicensed carrier, LBT</w:t>
      </w:r>
      <w:r>
        <w:rPr>
          <w:lang w:val="en-US" w:eastAsia="zh-CN"/>
        </w:rPr>
        <w:t xml:space="preserve"> </w:t>
      </w:r>
      <w:r>
        <w:rPr>
          <w:rFonts w:hint="eastAsia"/>
          <w:lang w:val="en-US" w:eastAsia="zh-CN"/>
        </w:rPr>
        <w:t xml:space="preserve">(listen before talk) with energy detection via omni-directional </w:t>
      </w:r>
      <w:r>
        <w:rPr>
          <w:lang w:val="en-US" w:eastAsia="zh-CN"/>
        </w:rPr>
        <w:t xml:space="preserve">antenna </w:t>
      </w:r>
      <w:r>
        <w:rPr>
          <w:rFonts w:hint="eastAsia"/>
          <w:lang w:val="en-US" w:eastAsia="zh-CN"/>
        </w:rPr>
        <w:t xml:space="preserve">beam was introduced in LAA and eLAA. </w:t>
      </w:r>
    </w:p>
    <w:p>
      <w:pPr>
        <w:tabs>
          <w:tab w:val="left" w:pos="450"/>
          <w:tab w:val="left" w:pos="720"/>
        </w:tabs>
        <w:spacing w:before="137" w:beforeLines="50" w:after="137" w:afterLines="50" w:line="240" w:lineRule="auto"/>
        <w:jc w:val="both"/>
        <w:rPr>
          <w:lang w:val="en-US" w:eastAsia="zh-CN"/>
        </w:rPr>
      </w:pPr>
      <w:r>
        <w:rPr>
          <w:rFonts w:hint="eastAsia"/>
          <w:lang w:val="en-US" w:eastAsia="zh-CN"/>
        </w:rPr>
        <w:t>In NR, SS/PBCH block transmission with beam has been supported to cover the whole NR cell. In NR-U, SS/PBCH block also need</w:t>
      </w:r>
      <w:r>
        <w:rPr>
          <w:lang w:val="en-US" w:eastAsia="zh-CN"/>
        </w:rPr>
        <w:t>s</w:t>
      </w:r>
      <w:r>
        <w:rPr>
          <w:rFonts w:hint="eastAsia"/>
          <w:lang w:val="en-US" w:eastAsia="zh-CN"/>
        </w:rPr>
        <w:t xml:space="preserve"> to </w:t>
      </w:r>
      <w:r>
        <w:rPr>
          <w:lang w:val="en-US" w:eastAsia="zh-CN"/>
        </w:rPr>
        <w:t xml:space="preserve">be </w:t>
      </w:r>
      <w:r>
        <w:rPr>
          <w:rFonts w:hint="eastAsia"/>
          <w:lang w:val="en-US" w:eastAsia="zh-CN"/>
        </w:rPr>
        <w:t xml:space="preserve">supported in some NR-U deployment scenarios to enable initial access and/or measurement and so on. However, according to the regulation requirement of the unlicensed carrier, </w:t>
      </w:r>
      <w:r>
        <w:rPr>
          <w:rFonts w:hint="eastAsia" w:eastAsia="宋体"/>
          <w:lang w:val="en-US" w:eastAsia="zh-CN"/>
        </w:rPr>
        <w:t>LBT need</w:t>
      </w:r>
      <w:r>
        <w:rPr>
          <w:rFonts w:eastAsia="宋体"/>
          <w:lang w:val="en-US" w:eastAsia="zh-CN"/>
        </w:rPr>
        <w:t>s</w:t>
      </w:r>
      <w:r>
        <w:rPr>
          <w:rFonts w:hint="eastAsia" w:eastAsia="宋体"/>
          <w:lang w:val="en-US" w:eastAsia="zh-CN"/>
        </w:rPr>
        <w:t xml:space="preserve"> to be performed before the actual SS/PBCH block transmission. If LBT in LTE-LAA is directly reused for beam-based SS/PBCH block transmission, it will lead to inaccurate CCA detection problems, e.g., high interference detected on the omni-directional beam could block the SS/PBCH block transmission on narrow directional beam even if the SS/PBCH block transmission does not interfere with the transmission of the other nodes in other beam directions. Based on this, </w:t>
      </w:r>
      <w:r>
        <w:rPr>
          <w:rFonts w:hint="eastAsia"/>
          <w:lang w:val="en-US" w:eastAsia="zh-CN"/>
        </w:rPr>
        <w:t xml:space="preserve">it is necessary to study directional LBT </w:t>
      </w:r>
      <w:r>
        <w:rPr>
          <w:lang w:val="en-US" w:eastAsia="zh-CN"/>
        </w:rPr>
        <w:t>mechanism</w:t>
      </w:r>
      <w:r>
        <w:rPr>
          <w:rFonts w:hint="eastAsia"/>
          <w:lang w:val="en-US" w:eastAsia="zh-CN"/>
        </w:rPr>
        <w:t xml:space="preserve"> for directional SS/PBCH block transmission in order to improve the probability of channel access and the accuracy of CCA detection. </w:t>
      </w:r>
    </w:p>
    <w:p>
      <w:pPr>
        <w:tabs>
          <w:tab w:val="left" w:pos="450"/>
          <w:tab w:val="left" w:pos="720"/>
        </w:tabs>
        <w:spacing w:before="137" w:beforeLines="50" w:after="137" w:afterLines="50" w:line="240" w:lineRule="auto"/>
        <w:jc w:val="both"/>
        <w:rPr>
          <w:lang w:val="en-US" w:eastAsia="zh-CN"/>
        </w:rPr>
      </w:pPr>
      <w:r>
        <w:rPr>
          <w:rFonts w:hint="eastAsia"/>
          <w:b/>
          <w:bCs/>
          <w:lang w:val="en-US" w:eastAsia="zh-CN"/>
        </w:rPr>
        <w:t>Proposal 14:</w:t>
      </w:r>
      <w:r>
        <w:rPr>
          <w:rFonts w:hint="eastAsia"/>
          <w:i/>
          <w:iCs/>
          <w:lang w:val="en-US" w:eastAsia="zh-CN"/>
        </w:rPr>
        <w:t xml:space="preserve"> Directional LBT should at least be supported for beam-based SS/PBCH block transmission in order to avoid inaccurate CCA detection problems. </w:t>
      </w:r>
    </w:p>
    <w:p>
      <w:pPr>
        <w:tabs>
          <w:tab w:val="left" w:pos="450"/>
          <w:tab w:val="left" w:pos="720"/>
        </w:tabs>
        <w:spacing w:before="137" w:beforeLines="50" w:after="137" w:afterLines="50" w:line="240" w:lineRule="auto"/>
        <w:jc w:val="both"/>
        <w:rPr>
          <w:lang w:val="en-US" w:eastAsia="zh-CN"/>
        </w:rPr>
      </w:pPr>
      <w:r>
        <w:rPr>
          <w:rFonts w:hint="eastAsia"/>
          <w:lang w:val="en-US" w:eastAsia="zh-CN"/>
        </w:rPr>
        <w:t>In order to better support directional LBT mechanism, some enhancements to current LTE-LAA LBT mechanism are worthy study to avoid interference. For example:</w:t>
      </w:r>
    </w:p>
    <w:p>
      <w:pPr>
        <w:numPr>
          <w:ilvl w:val="0"/>
          <w:numId w:val="14"/>
        </w:numPr>
        <w:tabs>
          <w:tab w:val="left" w:pos="450"/>
          <w:tab w:val="left" w:pos="720"/>
        </w:tabs>
        <w:spacing w:before="137" w:beforeLines="50" w:after="137" w:afterLines="50" w:line="240" w:lineRule="auto"/>
        <w:jc w:val="both"/>
        <w:rPr>
          <w:lang w:val="en-US" w:eastAsia="zh-CN"/>
        </w:rPr>
      </w:pPr>
      <w:r>
        <w:rPr>
          <w:rFonts w:hint="eastAsia"/>
          <w:lang w:val="en-US" w:eastAsia="zh-CN"/>
        </w:rPr>
        <w:t xml:space="preserve">Enhanced energy </w:t>
      </w:r>
      <w:r>
        <w:rPr>
          <w:lang w:val="en-US" w:eastAsia="zh-CN"/>
        </w:rPr>
        <w:t>calculation method</w:t>
      </w:r>
    </w:p>
    <w:p>
      <w:pPr>
        <w:numPr>
          <w:ilvl w:val="255"/>
          <w:numId w:val="0"/>
        </w:numPr>
        <w:tabs>
          <w:tab w:val="left" w:pos="450"/>
          <w:tab w:val="left" w:pos="720"/>
        </w:tabs>
        <w:spacing w:before="137" w:beforeLines="50" w:after="137" w:afterLines="50" w:line="240" w:lineRule="auto"/>
        <w:jc w:val="both"/>
        <w:rPr>
          <w:lang w:val="en-US" w:eastAsia="zh-CN"/>
        </w:rPr>
      </w:pPr>
      <w:r>
        <w:rPr>
          <w:rFonts w:hint="eastAsia"/>
          <w:lang w:val="en-US" w:eastAsia="zh-CN"/>
        </w:rPr>
        <w:t>In order to avoid the inaccuracy of CCA detection results caused by the mismatch between omni-directional LBT mode and directional SS/PBCH block transmission, some enhancement</w:t>
      </w:r>
      <w:r>
        <w:rPr>
          <w:lang w:val="en-US" w:eastAsia="zh-CN"/>
        </w:rPr>
        <w:t>s</w:t>
      </w:r>
      <w:r>
        <w:rPr>
          <w:rFonts w:hint="eastAsia"/>
          <w:lang w:val="en-US" w:eastAsia="zh-CN"/>
        </w:rPr>
        <w:t xml:space="preserve"> for energy calculation method need to be considered</w:t>
      </w:r>
      <w:r>
        <w:rPr>
          <w:lang w:val="en-US" w:eastAsia="zh-CN"/>
        </w:rPr>
        <w:t>. For example,</w:t>
      </w:r>
      <w:r>
        <w:rPr>
          <w:rFonts w:hint="eastAsia"/>
          <w:lang w:val="en-US" w:eastAsia="zh-CN"/>
        </w:rPr>
        <w:t xml:space="preserve"> only the signal energy </w:t>
      </w:r>
      <w:r>
        <w:rPr>
          <w:lang w:val="en-US" w:eastAsia="zh-CN"/>
        </w:rPr>
        <w:t>with</w:t>
      </w:r>
      <w:r>
        <w:rPr>
          <w:rFonts w:hint="eastAsia"/>
          <w:lang w:val="en-US" w:eastAsia="zh-CN"/>
        </w:rPr>
        <w:t>in the beam range can be used to determine the channel idle/busy condition.</w:t>
      </w:r>
    </w:p>
    <w:p>
      <w:pPr>
        <w:numPr>
          <w:ilvl w:val="0"/>
          <w:numId w:val="14"/>
        </w:numPr>
        <w:tabs>
          <w:tab w:val="left" w:pos="450"/>
          <w:tab w:val="left" w:pos="720"/>
        </w:tabs>
        <w:spacing w:before="137" w:beforeLines="50" w:after="137" w:afterLines="50" w:line="240" w:lineRule="auto"/>
        <w:jc w:val="both"/>
        <w:rPr>
          <w:lang w:val="en-US" w:eastAsia="zh-CN"/>
        </w:rPr>
      </w:pPr>
      <w:r>
        <w:rPr>
          <w:rFonts w:hint="eastAsia"/>
          <w:lang w:val="en-US" w:eastAsia="zh-CN"/>
        </w:rPr>
        <w:t>CCA detection threshold</w:t>
      </w:r>
    </w:p>
    <w:p>
      <w:pPr>
        <w:tabs>
          <w:tab w:val="left" w:pos="450"/>
          <w:tab w:val="left" w:pos="720"/>
        </w:tabs>
        <w:spacing w:before="137" w:beforeLines="50" w:after="137" w:afterLines="50" w:line="240" w:lineRule="auto"/>
        <w:jc w:val="both"/>
        <w:rPr>
          <w:lang w:val="en-US" w:eastAsia="zh-CN"/>
        </w:rPr>
      </w:pPr>
      <w:r>
        <w:rPr>
          <w:rFonts w:hint="eastAsia"/>
          <w:lang w:val="en-US" w:eastAsia="zh-CN"/>
        </w:rPr>
        <w:t>For LTE-LAA, due to 20MHz channel and omni-directional channel detection mode, the CCA energy detection threshold is unique for the transmission nodes. For NR-U, if channel access uses directional LBT, the CCA energy detection threshold for the transmission node may change due to</w:t>
      </w:r>
      <w:r>
        <w:rPr>
          <w:rFonts w:hint="eastAsia"/>
          <w:b/>
          <w:bCs/>
          <w:lang w:val="en-US" w:eastAsia="zh-CN"/>
        </w:rPr>
        <w:t xml:space="preserve"> </w:t>
      </w:r>
      <w:r>
        <w:rPr>
          <w:rFonts w:hint="eastAsia"/>
          <w:lang w:val="en-US" w:eastAsia="zh-CN"/>
        </w:rPr>
        <w:t xml:space="preserve">beamforming gain is introduced in EIRP of </w:t>
      </w:r>
      <w:r>
        <w:rPr>
          <w:rFonts w:hint="eastAsia"/>
          <w:lang w:val="en-US" w:eastAsia="zh-CN"/>
        </w:rPr>
        <w:object>
          <v:shape id="_x0000_i1034" o:spt="75" type="#_x0000_t75" style="height:16pt;width:42pt;" o:ole="t" filled="f" o:preferrelative="t" stroked="f" coordsize="21600,21600">
            <v:path/>
            <v:fill on="f" focussize="0,0"/>
            <v:stroke on="f" joinstyle="miter"/>
            <v:imagedata r:id="rId26" o:title=""/>
            <o:lock v:ext="edit" aspectratio="t"/>
            <w10:wrap type="none"/>
            <w10:anchorlock/>
          </v:shape>
          <o:OLEObject Type="Embed" ProgID="Equation.DSMT4" ShapeID="_x0000_i1034" DrawAspect="Content" ObjectID="_1468075734" r:id="rId25">
            <o:LockedField>false</o:LockedField>
          </o:OLEObject>
        </w:object>
      </w:r>
      <w:r>
        <w:rPr>
          <w:rFonts w:hint="eastAsia"/>
          <w:lang w:val="en-US" w:eastAsia="zh-CN"/>
        </w:rPr>
        <w:t xml:space="preserve"> calculation. Wherein, EIRP</w:t>
      </w:r>
      <w:r>
        <w:rPr>
          <w:lang w:val="en-US" w:eastAsia="zh-CN"/>
        </w:rPr>
        <w:t xml:space="preserve"> </w:t>
      </w:r>
      <w:r>
        <w:rPr>
          <w:rFonts w:hint="eastAsia"/>
          <w:lang w:val="en-US" w:eastAsia="zh-CN"/>
        </w:rPr>
        <w:t>=</w:t>
      </w:r>
      <w:r>
        <w:rPr>
          <w:lang w:val="en-US" w:eastAsia="zh-CN"/>
        </w:rPr>
        <w:t xml:space="preserve"> </w:t>
      </w:r>
      <w:r>
        <w:rPr>
          <w:rFonts w:hint="eastAsia"/>
          <w:lang w:val="en-US" w:eastAsia="zh-CN"/>
        </w:rPr>
        <w:t>Tx power + antenna gain + be</w:t>
      </w:r>
      <w:r>
        <w:rPr>
          <w:rFonts w:hint="eastAsia" w:eastAsia="宋体"/>
          <w:lang w:val="en-US" w:eastAsia="zh-CN"/>
        </w:rPr>
        <w:t xml:space="preserve">amforming gain. Therefore, it is necessary to discuss and study the calculation method of EIRP and appropriate CCA detection threshold for </w:t>
      </w:r>
      <w:r>
        <w:rPr>
          <w:rFonts w:hint="eastAsia"/>
          <w:lang w:val="en-US" w:eastAsia="zh-CN"/>
        </w:rPr>
        <w:t>directional</w:t>
      </w:r>
      <w:r>
        <w:rPr>
          <w:rFonts w:hint="eastAsia" w:eastAsia="宋体"/>
          <w:lang w:val="en-US" w:eastAsia="zh-CN"/>
        </w:rPr>
        <w:t xml:space="preserve"> LBT in NR-U. </w:t>
      </w:r>
    </w:p>
    <w:p>
      <w:pPr>
        <w:spacing w:before="137" w:beforeLines="50" w:after="137" w:afterLines="50"/>
        <w:jc w:val="both"/>
        <w:rPr>
          <w:i/>
          <w:iCs/>
          <w:lang w:val="en-US" w:eastAsia="zh-CN"/>
        </w:rPr>
      </w:pPr>
      <w:r>
        <w:rPr>
          <w:rFonts w:hint="eastAsia"/>
          <w:b/>
          <w:bCs/>
          <w:lang w:val="en-US" w:eastAsia="zh-CN"/>
        </w:rPr>
        <w:t>Proposal 15:</w:t>
      </w:r>
      <w:r>
        <w:rPr>
          <w:rFonts w:hint="eastAsia"/>
          <w:i/>
          <w:iCs/>
          <w:lang w:val="en-US" w:eastAsia="zh-CN"/>
        </w:rPr>
        <w:t xml:space="preserve"> Directional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w:t>
      </w:r>
      <w:r>
        <w:rPr>
          <w:rFonts w:hint="eastAsia" w:ascii="Times New Roman" w:hAnsi="Times New Roman"/>
          <w:b/>
          <w:bCs w:val="0"/>
          <w:sz w:val="24"/>
          <w:szCs w:val="24"/>
          <w:lang w:val="en-US" w:eastAsia="zh-CN"/>
        </w:rPr>
        <w:t xml:space="preserve"> </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LBT for Multiplexing and Frequency Reuse</w:t>
      </w:r>
    </w:p>
    <w:p>
      <w:pPr>
        <w:tabs>
          <w:tab w:val="left" w:pos="450"/>
          <w:tab w:val="left" w:pos="720"/>
        </w:tabs>
        <w:spacing w:before="137" w:beforeLines="50" w:after="137" w:afterLines="50" w:line="240" w:lineRule="auto"/>
        <w:jc w:val="both"/>
        <w:rPr>
          <w:lang w:val="en-US" w:eastAsia="zh-CN"/>
        </w:rPr>
      </w:pPr>
      <w:r>
        <w:rPr>
          <w:lang w:val="en-US" w:eastAsia="zh-CN"/>
        </w:rPr>
        <w:t>In LTE-LAA, frequency reuse among the neighbor nodes of the same operator is supported where maximum ED threshold (-52 dBm) has been agreed. In addition, it is recommended that multi-user multiplexing in one UL subframe on the unlicensed SCell by SDM or FDM should be supported in LTE-LAA. Based on this, multi-user multiplexing and frequency reuse could be also considered to be supported in NR-U. Furthermore, spatial reuse in NR-U has been supported to enhance performance beyond the baseline LBT in RAN1 #92bis meeting.</w:t>
      </w:r>
    </w:p>
    <w:p>
      <w:pPr>
        <w:tabs>
          <w:tab w:val="left" w:pos="450"/>
          <w:tab w:val="left" w:pos="720"/>
        </w:tabs>
        <w:spacing w:before="137" w:beforeLines="50" w:after="137" w:afterLines="50" w:line="240" w:lineRule="auto"/>
        <w:jc w:val="both"/>
        <w:rPr>
          <w:lang w:val="en-US" w:eastAsia="zh-CN"/>
        </w:rPr>
      </w:pPr>
      <w:r>
        <w:rPr>
          <w:lang w:val="en-US" w:eastAsia="zh-CN"/>
        </w:rPr>
        <w:t>In order to support multiplexing and/or frequency reuse and/or spatial reuse in NR-U, we can consider blank pattern method in addition to CCA detection approach, which was also mentioned in the other companion contribution [</w:t>
      </w:r>
      <w:r>
        <w:rPr>
          <w:rFonts w:hint="eastAsia"/>
          <w:lang w:val="en-US" w:eastAsia="zh-CN"/>
        </w:rPr>
        <w:t>6</w:t>
      </w:r>
      <w:r>
        <w:rPr>
          <w:lang w:val="en-US" w:eastAsia="zh-CN"/>
        </w:rPr>
        <w:t>]. Blank pattern can be at the granularity of PRB level, similar to PRB based interlace structure, e.g., one of interlace units can be used as blank pattern for CCA detection as shown in Figure</w:t>
      </w:r>
      <w:r>
        <w:rPr>
          <w:rFonts w:hint="eastAsia"/>
          <w:lang w:val="en-US" w:eastAsia="zh-CN"/>
        </w:rPr>
        <w:t xml:space="preserve"> 11</w:t>
      </w:r>
      <w:r>
        <w:rPr>
          <w:lang w:val="en-US" w:eastAsia="zh-CN"/>
        </w:rPr>
        <w:t xml:space="preserve">. This requires the energy detection at PRB level. The merit of this method is that NR-U nodes can distinguish that the signal observed on the channel is from other NR-U nodes of the same operator or from NR-U nodes of the other operator or from others UE belonging to the same cell or from other RATs and there are less impact on resource allocation. Preferably, different operators/cells configure different blank patterns and NR-U nodes of the same operator/cell configure the same blank pattern. If no energy is detected in those blank patterns, gNB can assume that at least during this period of time, there is no contention from other unlicensed systems, thus it can operate in licensed mode which tends to be more efficient. </w:t>
      </w:r>
    </w:p>
    <w:p>
      <w:pPr>
        <w:tabs>
          <w:tab w:val="left" w:pos="450"/>
          <w:tab w:val="left" w:pos="720"/>
        </w:tabs>
        <w:spacing w:before="137" w:beforeLines="50" w:after="137" w:afterLines="50" w:line="240" w:lineRule="auto"/>
        <w:jc w:val="both"/>
        <w:rPr>
          <w:lang w:val="en-US" w:eastAsia="zh-CN"/>
        </w:rPr>
      </w:pPr>
      <w:r>
        <w:rPr>
          <w:lang w:val="en-US" w:eastAsia="zh-CN"/>
        </w:rPr>
        <w:t>Further, blank pattern can be also reserved during its reservation signal and/or data transmission. NR-U nodes can detect energy on the blank pattern to estimate the source of interference. Besides, for the blank pattern scheme, RAN1 can send an LS to RAN4 in order to evaluate the feasibility of this scheme.</w:t>
      </w:r>
    </w:p>
    <w:p>
      <w:pPr>
        <w:tabs>
          <w:tab w:val="left" w:pos="450"/>
          <w:tab w:val="left" w:pos="720"/>
        </w:tabs>
        <w:spacing w:before="120" w:after="120" w:line="240" w:lineRule="auto"/>
        <w:jc w:val="center"/>
      </w:pPr>
      <w:r>
        <w:object>
          <v:shape id="_x0000_i1035" o:spt="75" type="#_x0000_t75" style="height:195pt;width:296.5pt;" o:ole="t" filled="f" o:preferrelative="t" stroked="f" coordsize="21600,21600">
            <v:path/>
            <v:fill on="f" focussize="0,0"/>
            <v:stroke on="f" joinstyle="miter"/>
            <v:imagedata r:id="rId28" o:title=""/>
            <o:lock v:ext="edit" aspectratio="t"/>
            <w10:wrap type="none"/>
            <w10:anchorlock/>
          </v:shape>
          <o:OLEObject Type="Embed" ProgID="Visio.Drawing.11" ShapeID="_x0000_i1035" DrawAspect="Content" ObjectID="_1468075735" r:id="rId27">
            <o:LockedField>false</o:LockedField>
          </o:OLEObject>
        </w:object>
      </w:r>
    </w:p>
    <w:p>
      <w:pPr>
        <w:tabs>
          <w:tab w:val="left" w:pos="450"/>
          <w:tab w:val="left" w:pos="720"/>
        </w:tabs>
        <w:spacing w:before="120" w:after="120" w:line="240" w:lineRule="auto"/>
        <w:jc w:val="center"/>
        <w:rPr>
          <w:rFonts w:eastAsia="宋体"/>
          <w:b/>
          <w:bCs/>
          <w:lang w:val="en-US" w:eastAsia="zh-CN"/>
        </w:rPr>
      </w:pPr>
      <w:r>
        <w:rPr>
          <w:rFonts w:hint="eastAsia" w:eastAsia="宋体"/>
          <w:b/>
          <w:bCs/>
          <w:lang w:val="en-US" w:eastAsia="zh-CN"/>
        </w:rPr>
        <w:t>Figure11. Blank pattern for PRB based interlace structure</w:t>
      </w:r>
      <w:r>
        <w:rPr>
          <w:rFonts w:eastAsia="宋体"/>
          <w:b/>
          <w:bCs/>
          <w:lang w:val="en-US" w:eastAsia="zh-CN"/>
        </w:rPr>
        <w:t xml:space="preserve"> for uplink </w:t>
      </w:r>
    </w:p>
    <w:p>
      <w:pPr>
        <w:tabs>
          <w:tab w:val="left" w:pos="450"/>
          <w:tab w:val="left" w:pos="720"/>
        </w:tabs>
        <w:spacing w:before="137" w:beforeLines="50" w:after="137" w:afterLines="50" w:line="240" w:lineRule="auto"/>
        <w:jc w:val="both"/>
        <w:rPr>
          <w:lang w:val="en-US" w:eastAsia="zh-CN"/>
        </w:rPr>
      </w:pPr>
      <w:r>
        <w:rPr>
          <w:lang w:val="en-US" w:eastAsia="zh-CN"/>
        </w:rPr>
        <w:t xml:space="preserve">An example is given to illustrate the blank pattern method to support multi-user multiplexing in the same cell or frequency reuse of inter-cell of the same operator. As shown in Figure </w:t>
      </w:r>
      <w:r>
        <w:rPr>
          <w:rFonts w:hint="eastAsia"/>
          <w:lang w:val="en-US" w:eastAsia="zh-CN"/>
        </w:rPr>
        <w:t>11</w:t>
      </w:r>
      <w:r>
        <w:rPr>
          <w:lang w:val="en-US" w:eastAsia="zh-CN"/>
        </w:rPr>
        <w:t xml:space="preserve">, orange color part of the picture denotes the CCA detection pattern. Assuming that node1 and Node 2 belong to operator 1/cell 1, the same CCA detection pattern is configured for Node 1 and Node 2. If the node1 first detects the channel idle before transmission, it transmits on at least one of white part or interlace-based scheduling resources and does not transmit any information on the blank identification area in Figure </w:t>
      </w:r>
      <w:r>
        <w:rPr>
          <w:rFonts w:hint="eastAsia"/>
          <w:lang w:val="en-US" w:eastAsia="zh-CN"/>
        </w:rPr>
        <w:t>11</w:t>
      </w:r>
      <w:r>
        <w:rPr>
          <w:lang w:val="en-US" w:eastAsia="zh-CN"/>
        </w:rPr>
        <w:t>. If the detected energy on the blank pattern for Node 2 is lower than the threshold T1, then Node 2 assumes that the current channel is idle and can be reused or multiplexed. Or if the detected energy on the blank pattern for Node 2 is larger than T1 while detected energy on the resources outside the blank pattern in the whole bandwidth is lower than the threshold T2, Node 2 thinks that frequency reuse/multiplexing can be realized, e.g., T1 &lt; T2. Similarly, if Node 1 and Node 2 is scheduled or allocated on the same time-frequency resource along with different beam direction, the blank pattern method is also applicable to spatial reuse of Node 1 and Node 2.</w:t>
      </w:r>
    </w:p>
    <w:p>
      <w:pPr>
        <w:spacing w:before="137" w:beforeLines="50" w:after="137" w:afterLines="50" w:line="240" w:lineRule="auto"/>
        <w:jc w:val="both"/>
        <w:rPr>
          <w:i/>
          <w:iCs/>
          <w:lang w:val="en-US" w:eastAsia="zh-CN"/>
        </w:rPr>
      </w:pPr>
      <w:r>
        <w:rPr>
          <w:rFonts w:hint="eastAsia"/>
          <w:b/>
          <w:bCs/>
          <w:lang w:val="en-US" w:eastAsia="zh-CN"/>
        </w:rPr>
        <w:t xml:space="preserve">Proposal 16: </w:t>
      </w:r>
      <w:bookmarkStart w:id="5" w:name="OLE_LINK17"/>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 xml:space="preserve">reuse/multiplexing </w:t>
      </w:r>
      <w:r>
        <w:rPr>
          <w:rFonts w:hint="eastAsia" w:eastAsia="宋体"/>
          <w:i/>
          <w:iCs/>
          <w:lang w:val="en-US" w:eastAsia="zh-CN"/>
        </w:rPr>
        <w:t xml:space="preserve">should </w:t>
      </w:r>
      <w:r>
        <w:rPr>
          <w:rFonts w:hint="eastAsia"/>
          <w:i/>
          <w:iCs/>
          <w:lang w:val="en-US" w:eastAsia="zh-CN"/>
        </w:rPr>
        <w:t>be supported in NR-U</w:t>
      </w:r>
      <w:bookmarkEnd w:id="5"/>
      <w:r>
        <w:rPr>
          <w:rFonts w:hint="eastAsia"/>
          <w:i/>
          <w:iCs/>
          <w:lang w:val="en-US" w:eastAsia="zh-CN"/>
        </w:rPr>
        <w:t xml:space="preserve"> and some methods </w:t>
      </w:r>
      <w:r>
        <w:rPr>
          <w:i/>
          <w:iCs/>
          <w:lang w:val="en-US" w:eastAsia="zh-CN"/>
        </w:rPr>
        <w:t>of</w:t>
      </w:r>
      <w:r>
        <w:rPr>
          <w:rFonts w:hint="eastAsia"/>
          <w:i/>
          <w:iCs/>
          <w:lang w:val="en-US" w:eastAsia="zh-CN"/>
        </w:rPr>
        <w:t xml:space="preserve"> frequency reuse/multiplexing can be considered such as PRB based interlace structure of blank pattern method.</w:t>
      </w:r>
    </w:p>
    <w:p>
      <w:pPr>
        <w:spacing w:before="137" w:beforeLines="50" w:after="137" w:afterLines="50" w:line="240" w:lineRule="auto"/>
        <w:jc w:val="both"/>
        <w:rPr>
          <w:i/>
          <w:iCs/>
          <w:lang w:val="en-US" w:eastAsia="zh-CN"/>
        </w:rPr>
      </w:pPr>
      <w:r>
        <w:rPr>
          <w:rFonts w:hint="eastAsia"/>
          <w:b/>
          <w:bCs/>
          <w:lang w:val="en-US" w:eastAsia="zh-CN"/>
        </w:rPr>
        <w:t xml:space="preserve">Proposal 17: </w:t>
      </w:r>
      <w:r>
        <w:rPr>
          <w:rFonts w:hint="eastAsia"/>
          <w:i/>
          <w:iCs/>
          <w:lang w:val="en-US" w:eastAsia="zh-CN"/>
        </w:rPr>
        <w:t>For blank pattern scheme, RAN1 can send a</w:t>
      </w:r>
      <w:r>
        <w:rPr>
          <w:i/>
          <w:iCs/>
          <w:lang w:val="en-US" w:eastAsia="zh-CN"/>
        </w:rPr>
        <w:t>n</w:t>
      </w:r>
      <w:r>
        <w:rPr>
          <w:rFonts w:hint="eastAsia"/>
          <w:i/>
          <w:iCs/>
          <w:lang w:val="en-US" w:eastAsia="zh-CN"/>
        </w:rPr>
        <w:t xml:space="preserve"> LS to RAN4 in order to evaluate the feasibility of this scheme.</w:t>
      </w:r>
    </w:p>
    <w:p>
      <w:pPr>
        <w:pStyle w:val="4"/>
        <w:spacing w:before="120" w:after="120" w:line="240" w:lineRule="auto"/>
        <w:rPr>
          <w:rFonts w:ascii="Times New Roman" w:hAnsi="Times New Roman" w:cs="Times New Roman"/>
          <w:b/>
          <w:bCs w:val="0"/>
          <w:sz w:val="21"/>
          <w:szCs w:val="21"/>
          <w:lang w:val="en-US" w:eastAsia="zh-CN"/>
        </w:rPr>
      </w:pPr>
      <w:r>
        <w:rPr>
          <w:rFonts w:hint="eastAsia" w:ascii="Times New Roman" w:hAnsi="Times New Roman" w:eastAsia="宋体" w:cs="Times New Roman"/>
          <w:b/>
          <w:bCs w:val="0"/>
          <w:sz w:val="21"/>
          <w:szCs w:val="21"/>
          <w:lang w:val="en-US" w:eastAsia="zh-CN"/>
        </w:rPr>
        <w:t xml:space="preserve"> </w:t>
      </w:r>
      <w:r>
        <w:rPr>
          <w:rFonts w:ascii="Times New Roman" w:hAnsi="Times New Roman" w:eastAsia="宋体" w:cs="Times New Roman"/>
          <w:b/>
          <w:bCs w:val="0"/>
          <w:sz w:val="21"/>
          <w:szCs w:val="21"/>
          <w:lang w:eastAsia="zh-CN"/>
        </w:rPr>
        <w:t>Simulation</w:t>
      </w:r>
    </w:p>
    <w:p>
      <w:pPr>
        <w:tabs>
          <w:tab w:val="left" w:pos="450"/>
          <w:tab w:val="left" w:pos="720"/>
        </w:tabs>
        <w:spacing w:before="137" w:beforeLines="50" w:after="137" w:afterLines="50" w:line="240" w:lineRule="auto"/>
        <w:jc w:val="both"/>
        <w:rPr>
          <w:lang w:val="en-US" w:eastAsia="zh-CN"/>
        </w:rPr>
      </w:pPr>
      <w:r>
        <w:rPr>
          <w:lang w:val="en-US" w:eastAsia="zh-CN"/>
        </w:rPr>
        <w:t>In t</w:t>
      </w:r>
      <w:r>
        <w:rPr>
          <w:rFonts w:hint="eastAsia"/>
          <w:lang w:val="en-US" w:eastAsia="zh-CN"/>
        </w:rPr>
        <w:t>his section</w:t>
      </w:r>
      <w:r>
        <w:rPr>
          <w:lang w:val="en-US" w:eastAsia="zh-CN"/>
        </w:rPr>
        <w:t xml:space="preserve">, </w:t>
      </w:r>
      <w:r>
        <w:rPr>
          <w:rFonts w:hint="eastAsia"/>
          <w:lang w:val="en-US" w:eastAsia="zh-CN"/>
        </w:rPr>
        <w:t xml:space="preserve">the </w:t>
      </w:r>
      <w:r>
        <w:rPr>
          <w:lang w:val="en-US" w:eastAsia="zh-CN"/>
        </w:rPr>
        <w:t>c</w:t>
      </w:r>
      <w:r>
        <w:rPr>
          <w:rFonts w:hint="eastAsia"/>
          <w:lang w:val="en-US" w:eastAsia="zh-CN"/>
        </w:rPr>
        <w:t xml:space="preserve">oexistence evaluation </w:t>
      </w:r>
      <w:r>
        <w:rPr>
          <w:lang w:val="en-US" w:eastAsia="zh-CN"/>
        </w:rPr>
        <w:t>r</w:t>
      </w:r>
      <w:r>
        <w:rPr>
          <w:rFonts w:hint="eastAsia"/>
          <w:lang w:val="en-US" w:eastAsia="zh-CN"/>
        </w:rPr>
        <w:t xml:space="preserve">esults for indoor deployment for NR-U+NR-U with FTP traffic </w:t>
      </w:r>
      <w:r>
        <w:rPr>
          <w:lang w:val="en-US" w:eastAsia="zh-CN"/>
        </w:rPr>
        <w:t>are provided. P</w:t>
      </w:r>
      <w:r>
        <w:rPr>
          <w:rFonts w:hint="eastAsia"/>
          <w:lang w:val="en-US" w:eastAsia="zh-CN"/>
        </w:rPr>
        <w:t xml:space="preserve">erformance </w:t>
      </w:r>
      <w:r>
        <w:rPr>
          <w:lang w:val="en-US" w:eastAsia="zh-CN"/>
        </w:rPr>
        <w:t xml:space="preserve">is compared between </w:t>
      </w:r>
      <w:r>
        <w:rPr>
          <w:rFonts w:hint="eastAsia"/>
          <w:lang w:val="en-US" w:eastAsia="zh-CN"/>
        </w:rPr>
        <w:t xml:space="preserve">the proposed multiplexing scheme </w:t>
      </w:r>
      <w:r>
        <w:rPr>
          <w:lang w:val="en-US" w:eastAsia="zh-CN"/>
        </w:rPr>
        <w:t>and</w:t>
      </w:r>
      <w:r>
        <w:rPr>
          <w:rFonts w:hint="eastAsia"/>
          <w:lang w:val="en-US" w:eastAsia="zh-CN"/>
        </w:rPr>
        <w:t xml:space="preserve"> the no-multiplexing scheme.</w:t>
      </w:r>
    </w:p>
    <w:p>
      <w:pPr>
        <w:tabs>
          <w:tab w:val="left" w:pos="450"/>
          <w:tab w:val="left" w:pos="720"/>
        </w:tabs>
        <w:spacing w:before="120" w:after="120" w:line="240" w:lineRule="auto"/>
        <w:jc w:val="center"/>
        <w:rPr>
          <w:rFonts w:eastAsiaTheme="minorEastAsia"/>
          <w:lang w:eastAsia="zh-CN"/>
        </w:rPr>
      </w:pPr>
      <w:r>
        <w:rPr>
          <w:rFonts w:eastAsiaTheme="minorEastAsia"/>
          <w:lang w:eastAsia="zh-CN"/>
        </w:rPr>
        <w:t>Table</w:t>
      </w:r>
      <w:r>
        <w:rPr>
          <w:rFonts w:hint="eastAsia" w:eastAsiaTheme="minorEastAsia"/>
          <w:lang w:val="en-US" w:eastAsia="zh-CN"/>
        </w:rPr>
        <w:t xml:space="preserve"> 2.</w:t>
      </w:r>
      <w:r>
        <w:rPr>
          <w:rFonts w:eastAsiaTheme="minorEastAsia"/>
          <w:lang w:eastAsia="zh-CN"/>
        </w:rPr>
        <w:t xml:space="preserve"> </w:t>
      </w:r>
      <w:r>
        <w:rPr>
          <w:rFonts w:hint="eastAsia" w:eastAsiaTheme="minorEastAsia"/>
          <w:lang w:val="en-US" w:eastAsia="zh-CN"/>
        </w:rPr>
        <w:t>NR-U</w:t>
      </w:r>
      <w:r>
        <w:rPr>
          <w:rFonts w:eastAsiaTheme="minorEastAsia"/>
          <w:lang w:eastAsia="zh-CN"/>
        </w:rPr>
        <w:t xml:space="preserve"> and </w:t>
      </w:r>
      <w:r>
        <w:rPr>
          <w:rFonts w:hint="eastAsia" w:eastAsiaTheme="minorEastAsia"/>
          <w:lang w:val="en-US" w:eastAsia="zh-CN"/>
        </w:rPr>
        <w:t>NR-U</w:t>
      </w:r>
      <w:r>
        <w:rPr>
          <w:rFonts w:eastAsiaTheme="minorEastAsia"/>
          <w:lang w:eastAsia="zh-CN"/>
        </w:rPr>
        <w:t xml:space="preserve"> coexistence evaluation results for indoor deployment</w:t>
      </w:r>
    </w:p>
    <w:tbl>
      <w:tblPr>
        <w:tblStyle w:val="33"/>
        <w:tblW w:w="8716" w:type="dxa"/>
        <w:jc w:val="center"/>
        <w:tblInd w:w="-10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4"/>
        <w:gridCol w:w="523"/>
        <w:gridCol w:w="1209"/>
        <w:gridCol w:w="1095"/>
        <w:gridCol w:w="1110"/>
        <w:gridCol w:w="1200"/>
        <w:gridCol w:w="1215"/>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837" w:type="dxa"/>
            <w:gridSpan w:val="2"/>
            <w:vMerge w:val="restart"/>
            <w:vAlign w:val="center"/>
          </w:tcPr>
          <w:p>
            <w:pPr>
              <w:spacing w:after="0" w:line="240" w:lineRule="auto"/>
              <w:contextualSpacing/>
              <w:jc w:val="center"/>
              <w:rPr>
                <w:rFonts w:eastAsia="宋体"/>
                <w:bCs/>
              </w:rPr>
            </w:pPr>
            <w:bookmarkStart w:id="6" w:name="OLE_LINK3"/>
            <w:r>
              <w:rPr>
                <w:rFonts w:eastAsia="宋体"/>
                <w:bCs/>
                <w:lang w:val="en-US" w:eastAsia="zh-CN"/>
              </w:rPr>
              <w:t>Reported parameters</w:t>
            </w:r>
          </w:p>
        </w:tc>
        <w:tc>
          <w:tcPr>
            <w:tcW w:w="6879" w:type="dxa"/>
            <w:gridSpan w:val="6"/>
            <w:vAlign w:val="center"/>
          </w:tcPr>
          <w:p>
            <w:pPr>
              <w:snapToGrid w:val="0"/>
              <w:spacing w:after="0" w:line="240" w:lineRule="auto"/>
              <w:contextualSpacing/>
              <w:jc w:val="center"/>
              <w:rPr>
                <w:rFonts w:eastAsia="宋体"/>
                <w:bCs/>
                <w:lang w:val="en-US" w:eastAsia="zh-CN"/>
              </w:rPr>
            </w:pPr>
            <w:r>
              <w:rPr>
                <w:bCs/>
                <w:lang w:val="en-US" w:eastAsia="zh-CN"/>
              </w:rPr>
              <w:t>-72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04" w:hRule="atLeast"/>
          <w:jc w:val="center"/>
        </w:trPr>
        <w:tc>
          <w:tcPr>
            <w:tcW w:w="1837" w:type="dxa"/>
            <w:gridSpan w:val="2"/>
            <w:vMerge w:val="continue"/>
            <w:vAlign w:val="center"/>
          </w:tcPr>
          <w:p>
            <w:pPr>
              <w:spacing w:after="0" w:line="240" w:lineRule="auto"/>
              <w:jc w:val="center"/>
              <w:rPr>
                <w:bCs/>
              </w:rPr>
            </w:pPr>
          </w:p>
        </w:tc>
        <w:tc>
          <w:tcPr>
            <w:tcW w:w="1209" w:type="dxa"/>
            <w:vAlign w:val="center"/>
          </w:tcPr>
          <w:p>
            <w:pPr>
              <w:pStyle w:val="24"/>
              <w:spacing w:before="0" w:beforeAutospacing="0" w:after="0" w:afterAutospacing="0" w:line="240" w:lineRule="auto"/>
              <w:jc w:val="center"/>
              <w:rPr>
                <w:rFonts w:eastAsia="宋体"/>
                <w:bCs/>
                <w:sz w:val="20"/>
                <w:szCs w:val="20"/>
              </w:rPr>
            </w:pPr>
            <w:r>
              <w:rPr>
                <w:bCs/>
                <w:sz w:val="20"/>
                <w:szCs w:val="20"/>
              </w:rPr>
              <w:t>NoReuse</w:t>
            </w:r>
          </w:p>
        </w:tc>
        <w:tc>
          <w:tcPr>
            <w:tcW w:w="1095" w:type="dxa"/>
            <w:vAlign w:val="center"/>
          </w:tcPr>
          <w:p>
            <w:pPr>
              <w:pStyle w:val="24"/>
              <w:spacing w:before="0" w:beforeAutospacing="0" w:after="0" w:afterAutospacing="0" w:line="240" w:lineRule="auto"/>
              <w:jc w:val="center"/>
              <w:rPr>
                <w:rFonts w:eastAsia="宋体"/>
                <w:bCs/>
                <w:sz w:val="20"/>
                <w:szCs w:val="20"/>
              </w:rPr>
            </w:pPr>
            <w:r>
              <w:rPr>
                <w:bCs/>
                <w:sz w:val="20"/>
                <w:szCs w:val="20"/>
              </w:rPr>
              <w:t>ReUse</w:t>
            </w:r>
          </w:p>
        </w:tc>
        <w:tc>
          <w:tcPr>
            <w:tcW w:w="1110" w:type="dxa"/>
            <w:vAlign w:val="center"/>
          </w:tcPr>
          <w:p>
            <w:pPr>
              <w:pStyle w:val="24"/>
              <w:spacing w:before="0" w:beforeAutospacing="0" w:after="0" w:afterAutospacing="0" w:line="240" w:lineRule="auto"/>
              <w:jc w:val="center"/>
              <w:rPr>
                <w:rFonts w:eastAsia="宋体"/>
                <w:bCs/>
                <w:sz w:val="20"/>
                <w:szCs w:val="20"/>
              </w:rPr>
            </w:pPr>
            <w:r>
              <w:rPr>
                <w:bCs/>
                <w:sz w:val="20"/>
                <w:szCs w:val="20"/>
              </w:rPr>
              <w:t>NoReuse</w:t>
            </w:r>
          </w:p>
        </w:tc>
        <w:tc>
          <w:tcPr>
            <w:tcW w:w="1200" w:type="dxa"/>
            <w:vAlign w:val="center"/>
          </w:tcPr>
          <w:p>
            <w:pPr>
              <w:pStyle w:val="24"/>
              <w:spacing w:before="0" w:beforeAutospacing="0" w:after="0" w:afterAutospacing="0" w:line="240" w:lineRule="auto"/>
              <w:jc w:val="center"/>
              <w:rPr>
                <w:rFonts w:eastAsia="宋体"/>
                <w:bCs/>
                <w:sz w:val="20"/>
                <w:szCs w:val="20"/>
              </w:rPr>
            </w:pPr>
            <w:r>
              <w:rPr>
                <w:bCs/>
                <w:sz w:val="20"/>
                <w:szCs w:val="20"/>
              </w:rPr>
              <w:t>-ReUse</w:t>
            </w:r>
          </w:p>
        </w:tc>
        <w:tc>
          <w:tcPr>
            <w:tcW w:w="1215" w:type="dxa"/>
            <w:vAlign w:val="center"/>
          </w:tcPr>
          <w:p>
            <w:pPr>
              <w:pStyle w:val="24"/>
              <w:spacing w:before="0" w:beforeAutospacing="0" w:after="0" w:afterAutospacing="0" w:line="240" w:lineRule="auto"/>
              <w:jc w:val="center"/>
              <w:rPr>
                <w:bCs/>
                <w:sz w:val="20"/>
                <w:szCs w:val="20"/>
              </w:rPr>
            </w:pPr>
            <w:r>
              <w:rPr>
                <w:bCs/>
                <w:sz w:val="20"/>
                <w:szCs w:val="20"/>
              </w:rPr>
              <w:t>NoReuse</w:t>
            </w:r>
          </w:p>
        </w:tc>
        <w:tc>
          <w:tcPr>
            <w:tcW w:w="1050" w:type="dxa"/>
            <w:vAlign w:val="center"/>
          </w:tcPr>
          <w:p>
            <w:pPr>
              <w:pStyle w:val="24"/>
              <w:spacing w:before="0" w:beforeAutospacing="0" w:after="0" w:afterAutospacing="0" w:line="240" w:lineRule="auto"/>
              <w:jc w:val="center"/>
              <w:rPr>
                <w:bCs/>
                <w:sz w:val="20"/>
                <w:szCs w:val="20"/>
              </w:rPr>
            </w:pPr>
            <w:r>
              <w:rPr>
                <w:bCs/>
                <w:sz w:val="20"/>
                <w:szCs w:val="20"/>
              </w:rPr>
              <w:t>ReUse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restart"/>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DL:   UPT CDF [Mbps]</w:t>
            </w: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w:t>
            </w:r>
          </w:p>
        </w:tc>
        <w:tc>
          <w:tcPr>
            <w:tcW w:w="1209" w:type="dxa"/>
            <w:vAlign w:val="center"/>
          </w:tcPr>
          <w:p>
            <w:pPr>
              <w:spacing w:after="0" w:line="240" w:lineRule="auto"/>
              <w:jc w:val="center"/>
              <w:rPr>
                <w:rFonts w:eastAsia="宋体"/>
                <w:bCs/>
                <w:lang w:val="en-US"/>
              </w:rPr>
            </w:pPr>
            <w:r>
              <w:rPr>
                <w:bCs/>
                <w:lang w:val="zh-CN"/>
              </w:rPr>
              <w:t>55.</w:t>
            </w:r>
            <w:r>
              <w:rPr>
                <w:bCs/>
                <w:lang w:val="en-US"/>
              </w:rPr>
              <w:t>4</w:t>
            </w:r>
          </w:p>
        </w:tc>
        <w:tc>
          <w:tcPr>
            <w:tcW w:w="1095" w:type="dxa"/>
            <w:vAlign w:val="center"/>
          </w:tcPr>
          <w:p>
            <w:pPr>
              <w:spacing w:after="0" w:line="240" w:lineRule="auto"/>
              <w:jc w:val="center"/>
              <w:rPr>
                <w:rFonts w:eastAsia="宋体"/>
                <w:bCs/>
              </w:rPr>
            </w:pPr>
            <w:r>
              <w:rPr>
                <w:bCs/>
                <w:lang w:val="zh-CN"/>
              </w:rPr>
              <w:t>55.9</w:t>
            </w:r>
          </w:p>
        </w:tc>
        <w:tc>
          <w:tcPr>
            <w:tcW w:w="1110" w:type="dxa"/>
            <w:vAlign w:val="center"/>
          </w:tcPr>
          <w:p>
            <w:pPr>
              <w:spacing w:after="0" w:line="240" w:lineRule="auto"/>
              <w:jc w:val="center"/>
              <w:rPr>
                <w:rFonts w:eastAsia="宋体"/>
                <w:bCs/>
              </w:rPr>
            </w:pPr>
            <w:r>
              <w:rPr>
                <w:bCs/>
                <w:lang w:val="zh-CN"/>
              </w:rPr>
              <w:t>34.2</w:t>
            </w:r>
          </w:p>
        </w:tc>
        <w:tc>
          <w:tcPr>
            <w:tcW w:w="1200" w:type="dxa"/>
            <w:vAlign w:val="center"/>
          </w:tcPr>
          <w:p>
            <w:pPr>
              <w:spacing w:after="0" w:line="240" w:lineRule="auto"/>
              <w:jc w:val="center"/>
              <w:rPr>
                <w:rFonts w:eastAsia="宋体"/>
                <w:bCs/>
              </w:rPr>
            </w:pPr>
            <w:r>
              <w:rPr>
                <w:bCs/>
                <w:lang w:val="zh-CN"/>
              </w:rPr>
              <w:t>34.94</w:t>
            </w:r>
          </w:p>
        </w:tc>
        <w:tc>
          <w:tcPr>
            <w:tcW w:w="1215" w:type="dxa"/>
            <w:vAlign w:val="center"/>
          </w:tcPr>
          <w:p>
            <w:pPr>
              <w:spacing w:after="0" w:line="240" w:lineRule="auto"/>
              <w:jc w:val="center"/>
              <w:rPr>
                <w:bCs/>
                <w:lang w:val="en-US"/>
              </w:rPr>
            </w:pPr>
            <w:r>
              <w:rPr>
                <w:bCs/>
                <w:lang w:val="zh-CN"/>
              </w:rPr>
              <w:t>16.</w:t>
            </w:r>
            <w:r>
              <w:rPr>
                <w:bCs/>
                <w:lang w:val="en-US"/>
              </w:rPr>
              <w:t>6</w:t>
            </w:r>
          </w:p>
        </w:tc>
        <w:tc>
          <w:tcPr>
            <w:tcW w:w="1050" w:type="dxa"/>
            <w:vAlign w:val="center"/>
          </w:tcPr>
          <w:p>
            <w:pPr>
              <w:spacing w:after="0" w:line="240" w:lineRule="auto"/>
              <w:jc w:val="center"/>
              <w:rPr>
                <w:bCs/>
                <w:lang w:val="zh-CN"/>
              </w:rPr>
            </w:pPr>
            <w:r>
              <w:rPr>
                <w:bCs/>
                <w:lang w:val="zh-CN"/>
              </w:rPr>
              <w:t>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90"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50%</w:t>
            </w:r>
          </w:p>
        </w:tc>
        <w:tc>
          <w:tcPr>
            <w:tcW w:w="1209" w:type="dxa"/>
            <w:vAlign w:val="center"/>
          </w:tcPr>
          <w:p>
            <w:pPr>
              <w:spacing w:after="0" w:line="240" w:lineRule="auto"/>
              <w:jc w:val="center"/>
              <w:rPr>
                <w:rFonts w:eastAsia="宋体"/>
                <w:bCs/>
                <w:lang w:val="en-US"/>
              </w:rPr>
            </w:pPr>
            <w:r>
              <w:rPr>
                <w:bCs/>
                <w:lang w:val="zh-CN"/>
              </w:rPr>
              <w:t>144.</w:t>
            </w:r>
            <w:r>
              <w:rPr>
                <w:bCs/>
                <w:lang w:val="en-US"/>
              </w:rPr>
              <w:t>4</w:t>
            </w:r>
          </w:p>
        </w:tc>
        <w:tc>
          <w:tcPr>
            <w:tcW w:w="1095" w:type="dxa"/>
            <w:vAlign w:val="center"/>
          </w:tcPr>
          <w:p>
            <w:pPr>
              <w:spacing w:after="0" w:line="240" w:lineRule="auto"/>
              <w:jc w:val="center"/>
              <w:rPr>
                <w:rFonts w:eastAsia="宋体"/>
                <w:bCs/>
                <w:lang w:val="en-US"/>
              </w:rPr>
            </w:pPr>
            <w:r>
              <w:rPr>
                <w:bCs/>
                <w:lang w:val="zh-CN"/>
              </w:rPr>
              <w:t>144.</w:t>
            </w:r>
            <w:r>
              <w:rPr>
                <w:bCs/>
                <w:lang w:val="en-US"/>
              </w:rPr>
              <w:t>5</w:t>
            </w:r>
          </w:p>
        </w:tc>
        <w:tc>
          <w:tcPr>
            <w:tcW w:w="1110" w:type="dxa"/>
            <w:vAlign w:val="center"/>
          </w:tcPr>
          <w:p>
            <w:pPr>
              <w:spacing w:after="0" w:line="240" w:lineRule="auto"/>
              <w:jc w:val="center"/>
              <w:rPr>
                <w:rFonts w:eastAsia="宋体"/>
                <w:bCs/>
              </w:rPr>
            </w:pPr>
            <w:r>
              <w:rPr>
                <w:bCs/>
                <w:lang w:val="zh-CN"/>
              </w:rPr>
              <w:t>130.8</w:t>
            </w:r>
          </w:p>
        </w:tc>
        <w:tc>
          <w:tcPr>
            <w:tcW w:w="1200" w:type="dxa"/>
            <w:vAlign w:val="center"/>
          </w:tcPr>
          <w:p>
            <w:pPr>
              <w:spacing w:after="0" w:line="240" w:lineRule="auto"/>
              <w:jc w:val="center"/>
              <w:rPr>
                <w:rFonts w:eastAsia="宋体"/>
                <w:bCs/>
                <w:lang w:val="en-US"/>
              </w:rPr>
            </w:pPr>
            <w:r>
              <w:rPr>
                <w:bCs/>
                <w:lang w:val="zh-CN"/>
              </w:rPr>
              <w:t>130.</w:t>
            </w:r>
            <w:r>
              <w:rPr>
                <w:bCs/>
                <w:lang w:val="en-US"/>
              </w:rPr>
              <w:t>1</w:t>
            </w:r>
          </w:p>
        </w:tc>
        <w:tc>
          <w:tcPr>
            <w:tcW w:w="1215" w:type="dxa"/>
            <w:vAlign w:val="center"/>
          </w:tcPr>
          <w:p>
            <w:pPr>
              <w:spacing w:after="0" w:line="240" w:lineRule="auto"/>
              <w:jc w:val="center"/>
              <w:rPr>
                <w:bCs/>
                <w:lang w:val="en-US"/>
              </w:rPr>
            </w:pPr>
            <w:r>
              <w:rPr>
                <w:bCs/>
                <w:lang w:val="zh-CN"/>
              </w:rPr>
              <w:t>70.</w:t>
            </w:r>
            <w:r>
              <w:rPr>
                <w:bCs/>
                <w:lang w:val="en-US"/>
              </w:rPr>
              <w:t>4</w:t>
            </w:r>
          </w:p>
        </w:tc>
        <w:tc>
          <w:tcPr>
            <w:tcW w:w="1050" w:type="dxa"/>
            <w:vAlign w:val="center"/>
          </w:tcPr>
          <w:p>
            <w:pPr>
              <w:spacing w:after="0" w:line="240" w:lineRule="auto"/>
              <w:jc w:val="center"/>
              <w:rPr>
                <w:bCs/>
                <w:lang w:val="en-US"/>
              </w:rPr>
            </w:pPr>
            <w:r>
              <w:rPr>
                <w:bCs/>
                <w:lang w:val="zh-CN"/>
              </w:rPr>
              <w:t>79.</w:t>
            </w:r>
            <w:r>
              <w:rPr>
                <w:bCs/>
                <w:lang w:val="en-US"/>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95%</w:t>
            </w:r>
          </w:p>
        </w:tc>
        <w:tc>
          <w:tcPr>
            <w:tcW w:w="1209" w:type="dxa"/>
            <w:vAlign w:val="center"/>
          </w:tcPr>
          <w:p>
            <w:pPr>
              <w:spacing w:after="0" w:line="240" w:lineRule="auto"/>
              <w:jc w:val="center"/>
              <w:rPr>
                <w:rFonts w:eastAsia="宋体"/>
                <w:bCs/>
                <w:lang w:val="en-US"/>
              </w:rPr>
            </w:pPr>
            <w:r>
              <w:rPr>
                <w:bCs/>
                <w:lang w:val="zh-CN"/>
              </w:rPr>
              <w:t>184.</w:t>
            </w:r>
            <w:r>
              <w:rPr>
                <w:bCs/>
                <w:lang w:val="en-US"/>
              </w:rPr>
              <w:t>6</w:t>
            </w:r>
          </w:p>
        </w:tc>
        <w:tc>
          <w:tcPr>
            <w:tcW w:w="1095" w:type="dxa"/>
            <w:vAlign w:val="center"/>
          </w:tcPr>
          <w:p>
            <w:pPr>
              <w:spacing w:after="0" w:line="240" w:lineRule="auto"/>
              <w:jc w:val="center"/>
              <w:rPr>
                <w:rFonts w:eastAsia="宋体"/>
                <w:bCs/>
                <w:lang w:val="en-US"/>
              </w:rPr>
            </w:pPr>
            <w:r>
              <w:rPr>
                <w:bCs/>
                <w:lang w:val="zh-CN"/>
              </w:rPr>
              <w:t>192</w:t>
            </w:r>
            <w:r>
              <w:rPr>
                <w:bCs/>
                <w:lang w:val="en-US"/>
              </w:rPr>
              <w:t>3</w:t>
            </w:r>
          </w:p>
        </w:tc>
        <w:tc>
          <w:tcPr>
            <w:tcW w:w="1110" w:type="dxa"/>
            <w:vAlign w:val="center"/>
          </w:tcPr>
          <w:p>
            <w:pPr>
              <w:spacing w:after="0" w:line="240" w:lineRule="auto"/>
              <w:jc w:val="center"/>
              <w:rPr>
                <w:rFonts w:eastAsia="宋体"/>
                <w:bCs/>
              </w:rPr>
            </w:pPr>
            <w:r>
              <w:rPr>
                <w:bCs/>
                <w:lang w:val="zh-CN"/>
              </w:rPr>
              <w:t>155.2</w:t>
            </w:r>
          </w:p>
        </w:tc>
        <w:tc>
          <w:tcPr>
            <w:tcW w:w="1200" w:type="dxa"/>
            <w:vAlign w:val="center"/>
          </w:tcPr>
          <w:p>
            <w:pPr>
              <w:spacing w:after="0" w:line="240" w:lineRule="auto"/>
              <w:jc w:val="center"/>
              <w:rPr>
                <w:rFonts w:eastAsia="宋体"/>
                <w:bCs/>
                <w:lang w:val="en-US"/>
              </w:rPr>
            </w:pPr>
            <w:r>
              <w:rPr>
                <w:bCs/>
                <w:lang w:val="zh-CN"/>
              </w:rPr>
              <w:t>169.</w:t>
            </w:r>
            <w:r>
              <w:rPr>
                <w:bCs/>
                <w:lang w:val="en-US"/>
              </w:rPr>
              <w:t>7</w:t>
            </w:r>
          </w:p>
        </w:tc>
        <w:tc>
          <w:tcPr>
            <w:tcW w:w="1215" w:type="dxa"/>
            <w:vAlign w:val="center"/>
          </w:tcPr>
          <w:p>
            <w:pPr>
              <w:spacing w:after="0" w:line="240" w:lineRule="auto"/>
              <w:jc w:val="center"/>
              <w:rPr>
                <w:bCs/>
                <w:lang w:val="en-US"/>
              </w:rPr>
            </w:pPr>
            <w:r>
              <w:rPr>
                <w:bCs/>
                <w:lang w:val="zh-CN"/>
              </w:rPr>
              <w:t>112.8</w:t>
            </w:r>
          </w:p>
        </w:tc>
        <w:tc>
          <w:tcPr>
            <w:tcW w:w="1050" w:type="dxa"/>
            <w:vAlign w:val="center"/>
          </w:tcPr>
          <w:p>
            <w:pPr>
              <w:spacing w:after="0" w:line="240" w:lineRule="auto"/>
              <w:jc w:val="center"/>
              <w:rPr>
                <w:bCs/>
                <w:lang w:val="zh-CN"/>
              </w:rPr>
            </w:pPr>
            <w:r>
              <w:rPr>
                <w:bCs/>
                <w:lang w:val="zh-CN"/>
              </w:rPr>
              <w:t>132.3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Mean</w:t>
            </w:r>
          </w:p>
        </w:tc>
        <w:tc>
          <w:tcPr>
            <w:tcW w:w="1209" w:type="dxa"/>
            <w:vAlign w:val="center"/>
          </w:tcPr>
          <w:p>
            <w:pPr>
              <w:spacing w:after="0" w:line="240" w:lineRule="auto"/>
              <w:jc w:val="center"/>
              <w:rPr>
                <w:rFonts w:eastAsia="宋体"/>
                <w:bCs/>
                <w:lang w:val="en-US"/>
              </w:rPr>
            </w:pPr>
            <w:r>
              <w:rPr>
                <w:bCs/>
                <w:lang w:val="zh-CN"/>
              </w:rPr>
              <w:t>140.</w:t>
            </w:r>
            <w:r>
              <w:rPr>
                <w:bCs/>
                <w:lang w:val="en-US"/>
              </w:rPr>
              <w:t>3</w:t>
            </w:r>
          </w:p>
        </w:tc>
        <w:tc>
          <w:tcPr>
            <w:tcW w:w="1095" w:type="dxa"/>
            <w:vAlign w:val="center"/>
          </w:tcPr>
          <w:p>
            <w:pPr>
              <w:spacing w:after="0" w:line="240" w:lineRule="auto"/>
              <w:jc w:val="center"/>
              <w:rPr>
                <w:rFonts w:eastAsia="宋体"/>
                <w:bCs/>
                <w:lang w:val="en-US"/>
              </w:rPr>
            </w:pPr>
            <w:r>
              <w:rPr>
                <w:bCs/>
                <w:lang w:val="zh-CN"/>
              </w:rPr>
              <w:t>141.</w:t>
            </w:r>
            <w:r>
              <w:rPr>
                <w:bCs/>
                <w:lang w:val="en-US"/>
              </w:rPr>
              <w:t>7</w:t>
            </w:r>
          </w:p>
        </w:tc>
        <w:tc>
          <w:tcPr>
            <w:tcW w:w="1110" w:type="dxa"/>
            <w:vAlign w:val="center"/>
          </w:tcPr>
          <w:p>
            <w:pPr>
              <w:spacing w:after="0" w:line="240" w:lineRule="auto"/>
              <w:jc w:val="center"/>
              <w:rPr>
                <w:rFonts w:eastAsia="宋体"/>
                <w:bCs/>
              </w:rPr>
            </w:pPr>
            <w:r>
              <w:rPr>
                <w:bCs/>
                <w:lang w:val="zh-CN"/>
              </w:rPr>
              <w:t>115.4</w:t>
            </w:r>
          </w:p>
        </w:tc>
        <w:tc>
          <w:tcPr>
            <w:tcW w:w="1200" w:type="dxa"/>
            <w:vAlign w:val="center"/>
          </w:tcPr>
          <w:p>
            <w:pPr>
              <w:spacing w:after="0" w:line="240" w:lineRule="auto"/>
              <w:jc w:val="center"/>
              <w:rPr>
                <w:rFonts w:eastAsia="宋体"/>
                <w:bCs/>
              </w:rPr>
            </w:pPr>
            <w:r>
              <w:rPr>
                <w:bCs/>
                <w:lang w:val="zh-CN"/>
              </w:rPr>
              <w:t>118.0</w:t>
            </w:r>
          </w:p>
        </w:tc>
        <w:tc>
          <w:tcPr>
            <w:tcW w:w="1215" w:type="dxa"/>
            <w:vAlign w:val="center"/>
          </w:tcPr>
          <w:p>
            <w:pPr>
              <w:spacing w:after="0" w:line="240" w:lineRule="auto"/>
              <w:jc w:val="center"/>
              <w:rPr>
                <w:bCs/>
                <w:lang w:val="zh-CN"/>
              </w:rPr>
            </w:pPr>
            <w:r>
              <w:rPr>
                <w:bCs/>
                <w:lang w:val="zh-CN"/>
              </w:rPr>
              <w:t>66.5</w:t>
            </w:r>
          </w:p>
        </w:tc>
        <w:tc>
          <w:tcPr>
            <w:tcW w:w="1050" w:type="dxa"/>
            <w:vAlign w:val="center"/>
          </w:tcPr>
          <w:p>
            <w:pPr>
              <w:spacing w:after="0" w:line="240" w:lineRule="auto"/>
              <w:jc w:val="center"/>
              <w:rPr>
                <w:bCs/>
                <w:lang w:val="en-US"/>
              </w:rPr>
            </w:pPr>
            <w:r>
              <w:rPr>
                <w:bCs/>
                <w:lang w:val="zh-CN"/>
              </w:rPr>
              <w:t>77.</w:t>
            </w:r>
            <w:r>
              <w:rPr>
                <w:bCs/>
                <w:lang w:val="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restart"/>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DL:  Delay CDF [s]</w:t>
            </w: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w:t>
            </w:r>
          </w:p>
        </w:tc>
        <w:tc>
          <w:tcPr>
            <w:tcW w:w="1209" w:type="dxa"/>
            <w:vAlign w:val="center"/>
          </w:tcPr>
          <w:p>
            <w:pPr>
              <w:spacing w:after="0" w:line="240" w:lineRule="auto"/>
              <w:jc w:val="center"/>
              <w:rPr>
                <w:rFonts w:eastAsia="宋体"/>
                <w:bCs/>
              </w:rPr>
            </w:pPr>
            <w:r>
              <w:rPr>
                <w:bCs/>
                <w:lang w:val="zh-CN"/>
              </w:rPr>
              <w:t>0.019</w:t>
            </w:r>
          </w:p>
        </w:tc>
        <w:tc>
          <w:tcPr>
            <w:tcW w:w="1095" w:type="dxa"/>
            <w:vAlign w:val="center"/>
          </w:tcPr>
          <w:p>
            <w:pPr>
              <w:spacing w:after="0" w:line="240" w:lineRule="auto"/>
              <w:jc w:val="center"/>
              <w:rPr>
                <w:rFonts w:eastAsia="宋体"/>
                <w:bCs/>
              </w:rPr>
            </w:pPr>
            <w:r>
              <w:rPr>
                <w:bCs/>
                <w:lang w:val="zh-CN"/>
              </w:rPr>
              <w:t>0.019</w:t>
            </w:r>
          </w:p>
        </w:tc>
        <w:tc>
          <w:tcPr>
            <w:tcW w:w="1110" w:type="dxa"/>
            <w:vAlign w:val="center"/>
          </w:tcPr>
          <w:p>
            <w:pPr>
              <w:spacing w:after="0" w:line="240" w:lineRule="auto"/>
              <w:jc w:val="center"/>
              <w:rPr>
                <w:rFonts w:eastAsia="宋体"/>
                <w:bCs/>
              </w:rPr>
            </w:pPr>
            <w:r>
              <w:rPr>
                <w:bCs/>
                <w:lang w:val="zh-CN"/>
              </w:rPr>
              <w:t>0.019</w:t>
            </w:r>
          </w:p>
        </w:tc>
        <w:tc>
          <w:tcPr>
            <w:tcW w:w="1200" w:type="dxa"/>
            <w:vAlign w:val="center"/>
          </w:tcPr>
          <w:p>
            <w:pPr>
              <w:spacing w:after="0" w:line="240" w:lineRule="auto"/>
              <w:jc w:val="center"/>
              <w:rPr>
                <w:rFonts w:eastAsia="宋体"/>
                <w:bCs/>
              </w:rPr>
            </w:pPr>
            <w:r>
              <w:rPr>
                <w:bCs/>
                <w:lang w:val="zh-CN"/>
              </w:rPr>
              <w:t>0.019</w:t>
            </w:r>
          </w:p>
        </w:tc>
        <w:tc>
          <w:tcPr>
            <w:tcW w:w="1215" w:type="dxa"/>
            <w:vAlign w:val="center"/>
          </w:tcPr>
          <w:p>
            <w:pPr>
              <w:spacing w:after="0" w:line="240" w:lineRule="auto"/>
              <w:jc w:val="center"/>
              <w:rPr>
                <w:bCs/>
                <w:lang w:val="zh-CN"/>
              </w:rPr>
            </w:pPr>
            <w:r>
              <w:rPr>
                <w:bCs/>
                <w:lang w:val="zh-CN"/>
              </w:rPr>
              <w:t>0.021</w:t>
            </w:r>
          </w:p>
        </w:tc>
        <w:tc>
          <w:tcPr>
            <w:tcW w:w="1050" w:type="dxa"/>
            <w:vAlign w:val="center"/>
          </w:tcPr>
          <w:p>
            <w:pPr>
              <w:spacing w:after="0" w:line="240" w:lineRule="auto"/>
              <w:jc w:val="center"/>
              <w:rPr>
                <w:bCs/>
                <w:lang w:val="zh-CN"/>
              </w:rPr>
            </w:pPr>
            <w:r>
              <w:rPr>
                <w:bCs/>
                <w:lang w:val="zh-CN"/>
              </w:rPr>
              <w:t>0.020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50%</w:t>
            </w:r>
          </w:p>
        </w:tc>
        <w:tc>
          <w:tcPr>
            <w:tcW w:w="1209" w:type="dxa"/>
            <w:vAlign w:val="center"/>
          </w:tcPr>
          <w:p>
            <w:pPr>
              <w:spacing w:after="0" w:line="240" w:lineRule="auto"/>
              <w:jc w:val="center"/>
              <w:rPr>
                <w:rFonts w:eastAsia="宋体"/>
                <w:bCs/>
              </w:rPr>
            </w:pPr>
            <w:r>
              <w:rPr>
                <w:bCs/>
                <w:lang w:val="zh-CN"/>
              </w:rPr>
              <w:t>0.026</w:t>
            </w:r>
          </w:p>
        </w:tc>
        <w:tc>
          <w:tcPr>
            <w:tcW w:w="1095" w:type="dxa"/>
            <w:vAlign w:val="center"/>
          </w:tcPr>
          <w:p>
            <w:pPr>
              <w:spacing w:after="0" w:line="240" w:lineRule="auto"/>
              <w:jc w:val="center"/>
              <w:rPr>
                <w:rFonts w:eastAsia="宋体"/>
                <w:bCs/>
              </w:rPr>
            </w:pPr>
            <w:r>
              <w:rPr>
                <w:bCs/>
                <w:lang w:val="zh-CN"/>
              </w:rPr>
              <w:t>0.025</w:t>
            </w:r>
          </w:p>
        </w:tc>
        <w:tc>
          <w:tcPr>
            <w:tcW w:w="1110" w:type="dxa"/>
            <w:vAlign w:val="center"/>
          </w:tcPr>
          <w:p>
            <w:pPr>
              <w:spacing w:after="0" w:line="240" w:lineRule="auto"/>
              <w:jc w:val="center"/>
              <w:rPr>
                <w:rFonts w:eastAsia="宋体"/>
                <w:bCs/>
              </w:rPr>
            </w:pPr>
            <w:r>
              <w:rPr>
                <w:bCs/>
                <w:lang w:val="zh-CN"/>
              </w:rPr>
              <w:t>0.035</w:t>
            </w:r>
          </w:p>
        </w:tc>
        <w:tc>
          <w:tcPr>
            <w:tcW w:w="1200" w:type="dxa"/>
            <w:vAlign w:val="center"/>
          </w:tcPr>
          <w:p>
            <w:pPr>
              <w:spacing w:after="0" w:line="240" w:lineRule="auto"/>
              <w:jc w:val="center"/>
              <w:rPr>
                <w:rFonts w:eastAsia="宋体"/>
                <w:bCs/>
              </w:rPr>
            </w:pPr>
            <w:r>
              <w:rPr>
                <w:bCs/>
                <w:lang w:val="zh-CN"/>
              </w:rPr>
              <w:t>0.034</w:t>
            </w:r>
          </w:p>
        </w:tc>
        <w:tc>
          <w:tcPr>
            <w:tcW w:w="1215" w:type="dxa"/>
            <w:vAlign w:val="center"/>
          </w:tcPr>
          <w:p>
            <w:pPr>
              <w:spacing w:after="0" w:line="240" w:lineRule="auto"/>
              <w:jc w:val="center"/>
              <w:rPr>
                <w:bCs/>
                <w:lang w:val="zh-CN"/>
              </w:rPr>
            </w:pPr>
            <w:r>
              <w:rPr>
                <w:bCs/>
                <w:lang w:val="zh-CN"/>
              </w:rPr>
              <w:t>0.087</w:t>
            </w:r>
          </w:p>
        </w:tc>
        <w:tc>
          <w:tcPr>
            <w:tcW w:w="1050" w:type="dxa"/>
            <w:vAlign w:val="center"/>
          </w:tcPr>
          <w:p>
            <w:pPr>
              <w:spacing w:after="0" w:line="240" w:lineRule="auto"/>
              <w:jc w:val="center"/>
              <w:rPr>
                <w:bCs/>
                <w:lang w:val="zh-CN"/>
              </w:rPr>
            </w:pPr>
            <w:r>
              <w:rPr>
                <w:bCs/>
                <w:lang w:val="zh-CN"/>
              </w:rPr>
              <w:t>0.068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95%</w:t>
            </w:r>
          </w:p>
        </w:tc>
        <w:tc>
          <w:tcPr>
            <w:tcW w:w="1209" w:type="dxa"/>
            <w:vAlign w:val="center"/>
          </w:tcPr>
          <w:p>
            <w:pPr>
              <w:spacing w:after="0" w:line="240" w:lineRule="auto"/>
              <w:jc w:val="center"/>
              <w:rPr>
                <w:rFonts w:eastAsia="宋体"/>
                <w:bCs/>
              </w:rPr>
            </w:pPr>
            <w:r>
              <w:rPr>
                <w:bCs/>
                <w:lang w:val="zh-CN"/>
              </w:rPr>
              <w:t>0.113</w:t>
            </w:r>
          </w:p>
        </w:tc>
        <w:tc>
          <w:tcPr>
            <w:tcW w:w="1095" w:type="dxa"/>
            <w:vAlign w:val="center"/>
          </w:tcPr>
          <w:p>
            <w:pPr>
              <w:spacing w:after="0" w:line="240" w:lineRule="auto"/>
              <w:jc w:val="center"/>
              <w:rPr>
                <w:rFonts w:eastAsia="宋体"/>
                <w:bCs/>
              </w:rPr>
            </w:pPr>
            <w:r>
              <w:rPr>
                <w:bCs/>
                <w:lang w:val="zh-CN"/>
              </w:rPr>
              <w:t>0.114</w:t>
            </w:r>
          </w:p>
        </w:tc>
        <w:tc>
          <w:tcPr>
            <w:tcW w:w="1110" w:type="dxa"/>
            <w:vAlign w:val="center"/>
          </w:tcPr>
          <w:p>
            <w:pPr>
              <w:spacing w:after="0" w:line="240" w:lineRule="auto"/>
              <w:jc w:val="center"/>
              <w:rPr>
                <w:rFonts w:eastAsia="宋体"/>
                <w:bCs/>
              </w:rPr>
            </w:pPr>
            <w:r>
              <w:rPr>
                <w:bCs/>
                <w:lang w:val="zh-CN"/>
              </w:rPr>
              <w:t>0.182</w:t>
            </w:r>
          </w:p>
        </w:tc>
        <w:tc>
          <w:tcPr>
            <w:tcW w:w="1200" w:type="dxa"/>
            <w:vAlign w:val="center"/>
          </w:tcPr>
          <w:p>
            <w:pPr>
              <w:spacing w:after="0" w:line="240" w:lineRule="auto"/>
              <w:jc w:val="center"/>
              <w:rPr>
                <w:rFonts w:eastAsia="宋体"/>
                <w:bCs/>
              </w:rPr>
            </w:pPr>
            <w:r>
              <w:rPr>
                <w:bCs/>
                <w:lang w:val="zh-CN"/>
              </w:rPr>
              <w:t>0.177</w:t>
            </w:r>
          </w:p>
        </w:tc>
        <w:tc>
          <w:tcPr>
            <w:tcW w:w="1215" w:type="dxa"/>
            <w:vAlign w:val="center"/>
          </w:tcPr>
          <w:p>
            <w:pPr>
              <w:spacing w:after="0" w:line="240" w:lineRule="auto"/>
              <w:jc w:val="center"/>
              <w:rPr>
                <w:bCs/>
                <w:lang w:val="zh-CN"/>
              </w:rPr>
            </w:pPr>
            <w:r>
              <w:rPr>
                <w:bCs/>
                <w:lang w:val="zh-CN"/>
              </w:rPr>
              <w:t>0.837</w:t>
            </w:r>
          </w:p>
        </w:tc>
        <w:tc>
          <w:tcPr>
            <w:tcW w:w="1050" w:type="dxa"/>
            <w:vAlign w:val="center"/>
          </w:tcPr>
          <w:p>
            <w:pPr>
              <w:spacing w:after="0" w:line="240" w:lineRule="auto"/>
              <w:jc w:val="center"/>
              <w:rPr>
                <w:bCs/>
                <w:lang w:val="zh-CN"/>
              </w:rPr>
            </w:pPr>
            <w:r>
              <w:rPr>
                <w:bCs/>
                <w:lang w:val="zh-CN"/>
              </w:rPr>
              <w:t>0.566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Mean</w:t>
            </w:r>
          </w:p>
        </w:tc>
        <w:tc>
          <w:tcPr>
            <w:tcW w:w="1209" w:type="dxa"/>
            <w:vAlign w:val="center"/>
          </w:tcPr>
          <w:p>
            <w:pPr>
              <w:spacing w:after="0" w:line="240" w:lineRule="auto"/>
              <w:jc w:val="center"/>
              <w:rPr>
                <w:rFonts w:eastAsia="宋体"/>
                <w:bCs/>
              </w:rPr>
            </w:pPr>
            <w:r>
              <w:rPr>
                <w:bCs/>
                <w:lang w:val="zh-CN"/>
              </w:rPr>
              <w:t>0.040</w:t>
            </w:r>
          </w:p>
        </w:tc>
        <w:tc>
          <w:tcPr>
            <w:tcW w:w="1095" w:type="dxa"/>
            <w:vAlign w:val="center"/>
          </w:tcPr>
          <w:p>
            <w:pPr>
              <w:spacing w:after="0" w:line="240" w:lineRule="auto"/>
              <w:jc w:val="center"/>
              <w:rPr>
                <w:rFonts w:eastAsia="宋体"/>
                <w:bCs/>
              </w:rPr>
            </w:pPr>
            <w:r>
              <w:rPr>
                <w:bCs/>
                <w:lang w:val="zh-CN"/>
              </w:rPr>
              <w:t>0.040</w:t>
            </w:r>
          </w:p>
        </w:tc>
        <w:tc>
          <w:tcPr>
            <w:tcW w:w="1110" w:type="dxa"/>
            <w:vAlign w:val="center"/>
          </w:tcPr>
          <w:p>
            <w:pPr>
              <w:spacing w:after="0" w:line="240" w:lineRule="auto"/>
              <w:jc w:val="center"/>
              <w:rPr>
                <w:rFonts w:eastAsia="宋体"/>
                <w:bCs/>
              </w:rPr>
            </w:pPr>
            <w:r>
              <w:rPr>
                <w:bCs/>
                <w:lang w:val="zh-CN"/>
              </w:rPr>
              <w:t>0.059</w:t>
            </w:r>
          </w:p>
        </w:tc>
        <w:tc>
          <w:tcPr>
            <w:tcW w:w="1200" w:type="dxa"/>
            <w:vAlign w:val="center"/>
          </w:tcPr>
          <w:p>
            <w:pPr>
              <w:spacing w:after="0" w:line="240" w:lineRule="auto"/>
              <w:jc w:val="center"/>
              <w:rPr>
                <w:rFonts w:eastAsia="宋体"/>
                <w:bCs/>
              </w:rPr>
            </w:pPr>
            <w:r>
              <w:rPr>
                <w:bCs/>
                <w:lang w:val="zh-CN"/>
              </w:rPr>
              <w:t>0.057</w:t>
            </w:r>
          </w:p>
        </w:tc>
        <w:tc>
          <w:tcPr>
            <w:tcW w:w="1215" w:type="dxa"/>
            <w:vAlign w:val="center"/>
          </w:tcPr>
          <w:p>
            <w:pPr>
              <w:spacing w:after="0" w:line="240" w:lineRule="auto"/>
              <w:jc w:val="center"/>
              <w:rPr>
                <w:bCs/>
                <w:lang w:val="zh-CN"/>
              </w:rPr>
            </w:pPr>
            <w:r>
              <w:rPr>
                <w:bCs/>
                <w:lang w:val="zh-CN"/>
              </w:rPr>
              <w:t>0.213</w:t>
            </w:r>
          </w:p>
        </w:tc>
        <w:tc>
          <w:tcPr>
            <w:tcW w:w="1050" w:type="dxa"/>
            <w:vAlign w:val="center"/>
          </w:tcPr>
          <w:p>
            <w:pPr>
              <w:spacing w:after="0" w:line="240" w:lineRule="auto"/>
              <w:jc w:val="center"/>
              <w:rPr>
                <w:bCs/>
                <w:lang w:val="zh-CN"/>
              </w:rPr>
            </w:pPr>
            <w:r>
              <w:rPr>
                <w:bCs/>
                <w:lang w:val="zh-CN"/>
              </w:rPr>
              <w:t>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restart"/>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UL:   UPT CDF [Mbps]</w:t>
            </w: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w:t>
            </w:r>
          </w:p>
        </w:tc>
        <w:tc>
          <w:tcPr>
            <w:tcW w:w="1209" w:type="dxa"/>
            <w:vAlign w:val="center"/>
          </w:tcPr>
          <w:p>
            <w:pPr>
              <w:spacing w:after="0" w:line="240" w:lineRule="auto"/>
              <w:jc w:val="center"/>
              <w:rPr>
                <w:rFonts w:eastAsia="宋体"/>
                <w:bCs/>
              </w:rPr>
            </w:pPr>
            <w:r>
              <w:rPr>
                <w:bCs/>
                <w:lang w:val="zh-CN"/>
              </w:rPr>
              <w:t>22.1</w:t>
            </w:r>
          </w:p>
        </w:tc>
        <w:tc>
          <w:tcPr>
            <w:tcW w:w="1095" w:type="dxa"/>
            <w:vAlign w:val="center"/>
          </w:tcPr>
          <w:p>
            <w:pPr>
              <w:spacing w:after="0" w:line="240" w:lineRule="auto"/>
              <w:jc w:val="center"/>
              <w:rPr>
                <w:rFonts w:eastAsia="宋体"/>
                <w:bCs/>
              </w:rPr>
            </w:pPr>
            <w:r>
              <w:rPr>
                <w:bCs/>
                <w:lang w:val="zh-CN"/>
              </w:rPr>
              <w:t>22.2</w:t>
            </w:r>
          </w:p>
        </w:tc>
        <w:tc>
          <w:tcPr>
            <w:tcW w:w="1110" w:type="dxa"/>
            <w:vAlign w:val="center"/>
          </w:tcPr>
          <w:p>
            <w:pPr>
              <w:spacing w:after="0" w:line="240" w:lineRule="auto"/>
              <w:jc w:val="center"/>
              <w:rPr>
                <w:rFonts w:eastAsia="宋体"/>
                <w:bCs/>
              </w:rPr>
            </w:pPr>
            <w:r>
              <w:rPr>
                <w:bCs/>
                <w:lang w:val="zh-CN"/>
              </w:rPr>
              <w:t>20.2</w:t>
            </w:r>
          </w:p>
        </w:tc>
        <w:tc>
          <w:tcPr>
            <w:tcW w:w="1200" w:type="dxa"/>
            <w:vAlign w:val="center"/>
          </w:tcPr>
          <w:p>
            <w:pPr>
              <w:spacing w:after="0" w:line="240" w:lineRule="auto"/>
              <w:jc w:val="center"/>
              <w:rPr>
                <w:rFonts w:eastAsia="宋体"/>
                <w:bCs/>
                <w:lang w:val="en-US"/>
              </w:rPr>
            </w:pPr>
            <w:r>
              <w:rPr>
                <w:bCs/>
                <w:lang w:val="zh-CN"/>
              </w:rPr>
              <w:t>20.</w:t>
            </w:r>
            <w:r>
              <w:rPr>
                <w:bCs/>
                <w:lang w:val="en-US"/>
              </w:rPr>
              <w:t>8</w:t>
            </w:r>
          </w:p>
        </w:tc>
        <w:tc>
          <w:tcPr>
            <w:tcW w:w="1215" w:type="dxa"/>
            <w:vAlign w:val="center"/>
          </w:tcPr>
          <w:p>
            <w:pPr>
              <w:spacing w:after="0" w:line="240" w:lineRule="auto"/>
              <w:jc w:val="center"/>
              <w:rPr>
                <w:bCs/>
                <w:lang w:val="zh-CN"/>
              </w:rPr>
            </w:pPr>
            <w:r>
              <w:rPr>
                <w:bCs/>
                <w:lang w:val="zh-CN"/>
              </w:rPr>
              <w:t>14.0</w:t>
            </w:r>
          </w:p>
        </w:tc>
        <w:tc>
          <w:tcPr>
            <w:tcW w:w="1050" w:type="dxa"/>
            <w:vAlign w:val="center"/>
          </w:tcPr>
          <w:p>
            <w:pPr>
              <w:spacing w:after="0" w:line="240" w:lineRule="auto"/>
              <w:jc w:val="center"/>
              <w:rPr>
                <w:bCs/>
                <w:lang w:val="zh-CN"/>
              </w:rPr>
            </w:pPr>
            <w:r>
              <w:rPr>
                <w:bCs/>
                <w:lang w:val="zh-CN"/>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50%</w:t>
            </w:r>
          </w:p>
        </w:tc>
        <w:tc>
          <w:tcPr>
            <w:tcW w:w="1209" w:type="dxa"/>
            <w:vAlign w:val="center"/>
          </w:tcPr>
          <w:p>
            <w:pPr>
              <w:spacing w:after="0" w:line="240" w:lineRule="auto"/>
              <w:jc w:val="center"/>
              <w:rPr>
                <w:rFonts w:eastAsia="宋体"/>
                <w:bCs/>
              </w:rPr>
            </w:pPr>
            <w:r>
              <w:rPr>
                <w:bCs/>
                <w:lang w:val="zh-CN"/>
              </w:rPr>
              <w:t>162.1</w:t>
            </w:r>
          </w:p>
        </w:tc>
        <w:tc>
          <w:tcPr>
            <w:tcW w:w="1095" w:type="dxa"/>
            <w:vAlign w:val="center"/>
          </w:tcPr>
          <w:p>
            <w:pPr>
              <w:spacing w:after="0" w:line="240" w:lineRule="auto"/>
              <w:jc w:val="center"/>
              <w:rPr>
                <w:rFonts w:eastAsia="宋体"/>
                <w:bCs/>
              </w:rPr>
            </w:pPr>
            <w:r>
              <w:rPr>
                <w:bCs/>
                <w:lang w:val="zh-CN"/>
              </w:rPr>
              <w:t>162.9</w:t>
            </w:r>
          </w:p>
        </w:tc>
        <w:tc>
          <w:tcPr>
            <w:tcW w:w="1110" w:type="dxa"/>
            <w:vAlign w:val="center"/>
          </w:tcPr>
          <w:p>
            <w:pPr>
              <w:spacing w:after="0" w:line="240" w:lineRule="auto"/>
              <w:jc w:val="center"/>
              <w:rPr>
                <w:rFonts w:eastAsia="宋体"/>
                <w:bCs/>
                <w:lang w:val="en-US"/>
              </w:rPr>
            </w:pPr>
            <w:r>
              <w:rPr>
                <w:bCs/>
                <w:lang w:val="zh-CN"/>
              </w:rPr>
              <w:t>143.</w:t>
            </w:r>
            <w:r>
              <w:rPr>
                <w:bCs/>
                <w:lang w:val="en-US"/>
              </w:rPr>
              <w:t>4</w:t>
            </w:r>
          </w:p>
        </w:tc>
        <w:tc>
          <w:tcPr>
            <w:tcW w:w="1200" w:type="dxa"/>
            <w:vAlign w:val="center"/>
          </w:tcPr>
          <w:p>
            <w:pPr>
              <w:spacing w:after="0" w:line="240" w:lineRule="auto"/>
              <w:jc w:val="center"/>
              <w:rPr>
                <w:rFonts w:eastAsia="宋体"/>
                <w:bCs/>
                <w:lang w:val="en-US"/>
              </w:rPr>
            </w:pPr>
            <w:r>
              <w:rPr>
                <w:bCs/>
                <w:lang w:val="zh-CN"/>
              </w:rPr>
              <w:t>144.</w:t>
            </w:r>
            <w:r>
              <w:rPr>
                <w:bCs/>
                <w:lang w:val="en-US"/>
              </w:rPr>
              <w:t>7</w:t>
            </w:r>
          </w:p>
        </w:tc>
        <w:tc>
          <w:tcPr>
            <w:tcW w:w="1215" w:type="dxa"/>
            <w:vAlign w:val="center"/>
          </w:tcPr>
          <w:p>
            <w:pPr>
              <w:spacing w:after="0" w:line="240" w:lineRule="auto"/>
              <w:jc w:val="center"/>
              <w:rPr>
                <w:bCs/>
                <w:lang w:val="en-US"/>
              </w:rPr>
            </w:pPr>
            <w:r>
              <w:rPr>
                <w:bCs/>
                <w:lang w:val="zh-CN"/>
              </w:rPr>
              <w:t>96.</w:t>
            </w:r>
            <w:r>
              <w:rPr>
                <w:bCs/>
                <w:lang w:val="en-US"/>
              </w:rPr>
              <w:t>9</w:t>
            </w:r>
          </w:p>
        </w:tc>
        <w:tc>
          <w:tcPr>
            <w:tcW w:w="1050" w:type="dxa"/>
            <w:vAlign w:val="center"/>
          </w:tcPr>
          <w:p>
            <w:pPr>
              <w:spacing w:after="0" w:line="240" w:lineRule="auto"/>
              <w:jc w:val="center"/>
              <w:rPr>
                <w:bCs/>
                <w:lang w:val="zh-CN"/>
              </w:rPr>
            </w:pPr>
            <w:r>
              <w:rPr>
                <w:bCs/>
                <w:lang w:val="zh-CN"/>
              </w:rPr>
              <w:t>107.9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95%</w:t>
            </w:r>
          </w:p>
        </w:tc>
        <w:tc>
          <w:tcPr>
            <w:tcW w:w="1209" w:type="dxa"/>
            <w:vAlign w:val="center"/>
          </w:tcPr>
          <w:p>
            <w:pPr>
              <w:spacing w:after="0" w:line="240" w:lineRule="auto"/>
              <w:jc w:val="center"/>
              <w:rPr>
                <w:rFonts w:eastAsia="宋体"/>
                <w:bCs/>
                <w:lang w:val="en-US"/>
              </w:rPr>
            </w:pPr>
            <w:r>
              <w:rPr>
                <w:bCs/>
                <w:lang w:val="zh-CN"/>
              </w:rPr>
              <w:t>181.</w:t>
            </w:r>
            <w:r>
              <w:rPr>
                <w:bCs/>
                <w:lang w:val="en-US"/>
              </w:rPr>
              <w:t>6</w:t>
            </w:r>
          </w:p>
        </w:tc>
        <w:tc>
          <w:tcPr>
            <w:tcW w:w="1095" w:type="dxa"/>
            <w:vAlign w:val="center"/>
          </w:tcPr>
          <w:p>
            <w:pPr>
              <w:spacing w:after="0" w:line="240" w:lineRule="auto"/>
              <w:jc w:val="center"/>
              <w:rPr>
                <w:rFonts w:eastAsia="宋体"/>
                <w:bCs/>
                <w:lang w:val="en-US"/>
              </w:rPr>
            </w:pPr>
            <w:r>
              <w:rPr>
                <w:bCs/>
                <w:lang w:val="zh-CN"/>
              </w:rPr>
              <w:t>181.</w:t>
            </w:r>
            <w:r>
              <w:rPr>
                <w:bCs/>
                <w:lang w:val="en-US"/>
              </w:rPr>
              <w:t>6</w:t>
            </w:r>
          </w:p>
        </w:tc>
        <w:tc>
          <w:tcPr>
            <w:tcW w:w="1110" w:type="dxa"/>
            <w:vAlign w:val="center"/>
          </w:tcPr>
          <w:p>
            <w:pPr>
              <w:spacing w:after="0" w:line="240" w:lineRule="auto"/>
              <w:jc w:val="center"/>
              <w:rPr>
                <w:rFonts w:eastAsia="宋体"/>
                <w:bCs/>
              </w:rPr>
            </w:pPr>
            <w:r>
              <w:rPr>
                <w:bCs/>
                <w:lang w:val="zh-CN"/>
              </w:rPr>
              <w:t>163.4</w:t>
            </w:r>
          </w:p>
        </w:tc>
        <w:tc>
          <w:tcPr>
            <w:tcW w:w="1200" w:type="dxa"/>
            <w:vAlign w:val="center"/>
          </w:tcPr>
          <w:p>
            <w:pPr>
              <w:spacing w:after="0" w:line="240" w:lineRule="auto"/>
              <w:jc w:val="center"/>
              <w:rPr>
                <w:rFonts w:eastAsia="宋体"/>
                <w:bCs/>
                <w:lang w:val="en-US"/>
              </w:rPr>
            </w:pPr>
            <w:r>
              <w:rPr>
                <w:bCs/>
                <w:lang w:val="zh-CN"/>
              </w:rPr>
              <w:t>163.</w:t>
            </w:r>
            <w:r>
              <w:rPr>
                <w:bCs/>
                <w:lang w:val="en-US"/>
              </w:rPr>
              <w:t>2</w:t>
            </w:r>
          </w:p>
        </w:tc>
        <w:tc>
          <w:tcPr>
            <w:tcW w:w="1215" w:type="dxa"/>
            <w:vAlign w:val="center"/>
          </w:tcPr>
          <w:p>
            <w:pPr>
              <w:spacing w:after="0" w:line="240" w:lineRule="auto"/>
              <w:jc w:val="center"/>
              <w:rPr>
                <w:bCs/>
                <w:lang w:val="zh-CN"/>
              </w:rPr>
            </w:pPr>
            <w:r>
              <w:rPr>
                <w:bCs/>
                <w:lang w:val="zh-CN"/>
              </w:rPr>
              <w:t>139.5</w:t>
            </w:r>
          </w:p>
        </w:tc>
        <w:tc>
          <w:tcPr>
            <w:tcW w:w="1050" w:type="dxa"/>
            <w:vAlign w:val="center"/>
          </w:tcPr>
          <w:p>
            <w:pPr>
              <w:spacing w:after="0" w:line="240" w:lineRule="auto"/>
              <w:jc w:val="center"/>
              <w:rPr>
                <w:bCs/>
                <w:lang w:val="zh-CN"/>
              </w:rPr>
            </w:pPr>
            <w:r>
              <w:rPr>
                <w:bCs/>
                <w:lang w:val="zh-CN"/>
              </w:rPr>
              <w:t>143.3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332"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Mean</w:t>
            </w:r>
          </w:p>
        </w:tc>
        <w:tc>
          <w:tcPr>
            <w:tcW w:w="1209" w:type="dxa"/>
            <w:vAlign w:val="center"/>
          </w:tcPr>
          <w:p>
            <w:pPr>
              <w:spacing w:after="0" w:line="240" w:lineRule="auto"/>
              <w:jc w:val="center"/>
              <w:rPr>
                <w:rFonts w:eastAsia="宋体"/>
                <w:bCs/>
                <w:lang w:val="en-US"/>
              </w:rPr>
            </w:pPr>
            <w:r>
              <w:rPr>
                <w:bCs/>
                <w:lang w:val="zh-CN"/>
              </w:rPr>
              <w:t>135.</w:t>
            </w:r>
            <w:r>
              <w:rPr>
                <w:bCs/>
                <w:lang w:val="en-US"/>
              </w:rPr>
              <w:t>2</w:t>
            </w:r>
          </w:p>
        </w:tc>
        <w:tc>
          <w:tcPr>
            <w:tcW w:w="1095" w:type="dxa"/>
            <w:vAlign w:val="center"/>
          </w:tcPr>
          <w:p>
            <w:pPr>
              <w:spacing w:after="0" w:line="240" w:lineRule="auto"/>
              <w:jc w:val="center"/>
              <w:rPr>
                <w:rFonts w:eastAsia="宋体"/>
                <w:bCs/>
                <w:lang w:val="en-US"/>
              </w:rPr>
            </w:pPr>
            <w:r>
              <w:rPr>
                <w:bCs/>
                <w:lang w:val="zh-CN"/>
              </w:rPr>
              <w:t>13</w:t>
            </w:r>
            <w:r>
              <w:rPr>
                <w:bCs/>
                <w:lang w:val="en-US"/>
              </w:rPr>
              <w:t>7.0</w:t>
            </w:r>
          </w:p>
        </w:tc>
        <w:tc>
          <w:tcPr>
            <w:tcW w:w="1110" w:type="dxa"/>
            <w:vAlign w:val="center"/>
          </w:tcPr>
          <w:p>
            <w:pPr>
              <w:spacing w:after="0" w:line="240" w:lineRule="auto"/>
              <w:jc w:val="center"/>
              <w:rPr>
                <w:rFonts w:eastAsia="宋体"/>
                <w:bCs/>
              </w:rPr>
            </w:pPr>
            <w:r>
              <w:rPr>
                <w:bCs/>
                <w:lang w:val="zh-CN"/>
              </w:rPr>
              <w:t>122.8</w:t>
            </w:r>
          </w:p>
        </w:tc>
        <w:tc>
          <w:tcPr>
            <w:tcW w:w="1200" w:type="dxa"/>
            <w:vAlign w:val="center"/>
          </w:tcPr>
          <w:p>
            <w:pPr>
              <w:spacing w:after="0" w:line="240" w:lineRule="auto"/>
              <w:jc w:val="center"/>
              <w:rPr>
                <w:rFonts w:eastAsia="宋体"/>
                <w:bCs/>
              </w:rPr>
            </w:pPr>
            <w:r>
              <w:rPr>
                <w:bCs/>
                <w:lang w:val="zh-CN"/>
              </w:rPr>
              <w:t>124.8</w:t>
            </w:r>
          </w:p>
        </w:tc>
        <w:tc>
          <w:tcPr>
            <w:tcW w:w="1215" w:type="dxa"/>
            <w:vAlign w:val="center"/>
          </w:tcPr>
          <w:p>
            <w:pPr>
              <w:spacing w:after="0" w:line="240" w:lineRule="auto"/>
              <w:jc w:val="center"/>
              <w:rPr>
                <w:bCs/>
                <w:lang w:val="zh-CN"/>
              </w:rPr>
            </w:pPr>
            <w:r>
              <w:rPr>
                <w:bCs/>
                <w:lang w:val="zh-CN"/>
              </w:rPr>
              <w:t>89.1</w:t>
            </w:r>
          </w:p>
        </w:tc>
        <w:tc>
          <w:tcPr>
            <w:tcW w:w="1050" w:type="dxa"/>
            <w:vAlign w:val="center"/>
          </w:tcPr>
          <w:p>
            <w:pPr>
              <w:spacing w:after="0" w:line="240" w:lineRule="auto"/>
              <w:jc w:val="center"/>
              <w:rPr>
                <w:bCs/>
                <w:lang w:val="en-US"/>
              </w:rPr>
            </w:pPr>
            <w:r>
              <w:rPr>
                <w:bCs/>
                <w:lang w:val="zh-CN"/>
              </w:rPr>
              <w:t>97.</w:t>
            </w:r>
            <w:r>
              <w:rPr>
                <w:bCs/>
                <w:lang w:val="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restart"/>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UL:  Delay CDF [s]</w:t>
            </w: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w:t>
            </w:r>
          </w:p>
        </w:tc>
        <w:tc>
          <w:tcPr>
            <w:tcW w:w="1209" w:type="dxa"/>
            <w:vAlign w:val="center"/>
          </w:tcPr>
          <w:p>
            <w:pPr>
              <w:spacing w:after="0" w:line="240" w:lineRule="auto"/>
              <w:jc w:val="center"/>
              <w:rPr>
                <w:rFonts w:eastAsia="宋体"/>
                <w:bCs/>
              </w:rPr>
            </w:pPr>
            <w:r>
              <w:rPr>
                <w:bCs/>
                <w:lang w:val="zh-CN"/>
              </w:rPr>
              <w:t>0.021</w:t>
            </w:r>
          </w:p>
        </w:tc>
        <w:tc>
          <w:tcPr>
            <w:tcW w:w="1095" w:type="dxa"/>
            <w:vAlign w:val="center"/>
          </w:tcPr>
          <w:p>
            <w:pPr>
              <w:spacing w:after="0" w:line="240" w:lineRule="auto"/>
              <w:jc w:val="center"/>
              <w:rPr>
                <w:rFonts w:eastAsia="宋体"/>
                <w:bCs/>
              </w:rPr>
            </w:pPr>
            <w:r>
              <w:rPr>
                <w:bCs/>
                <w:lang w:val="zh-CN"/>
              </w:rPr>
              <w:t>0.021</w:t>
            </w:r>
          </w:p>
        </w:tc>
        <w:tc>
          <w:tcPr>
            <w:tcW w:w="1110" w:type="dxa"/>
            <w:vAlign w:val="center"/>
          </w:tcPr>
          <w:p>
            <w:pPr>
              <w:spacing w:after="0" w:line="240" w:lineRule="auto"/>
              <w:jc w:val="center"/>
              <w:rPr>
                <w:rFonts w:eastAsia="宋体"/>
                <w:bCs/>
              </w:rPr>
            </w:pPr>
            <w:r>
              <w:rPr>
                <w:bCs/>
                <w:lang w:val="zh-CN"/>
              </w:rPr>
              <w:t>0.021</w:t>
            </w:r>
          </w:p>
        </w:tc>
        <w:tc>
          <w:tcPr>
            <w:tcW w:w="1200" w:type="dxa"/>
            <w:vAlign w:val="center"/>
          </w:tcPr>
          <w:p>
            <w:pPr>
              <w:spacing w:after="0" w:line="240" w:lineRule="auto"/>
              <w:jc w:val="center"/>
              <w:rPr>
                <w:rFonts w:eastAsia="宋体"/>
                <w:bCs/>
              </w:rPr>
            </w:pPr>
            <w:r>
              <w:rPr>
                <w:bCs/>
                <w:lang w:val="zh-CN"/>
              </w:rPr>
              <w:t>0.021</w:t>
            </w:r>
          </w:p>
        </w:tc>
        <w:tc>
          <w:tcPr>
            <w:tcW w:w="1215" w:type="dxa"/>
            <w:vAlign w:val="center"/>
          </w:tcPr>
          <w:p>
            <w:pPr>
              <w:spacing w:after="0" w:line="240" w:lineRule="auto"/>
              <w:jc w:val="center"/>
              <w:rPr>
                <w:bCs/>
                <w:lang w:val="zh-CN"/>
              </w:rPr>
            </w:pPr>
            <w:r>
              <w:rPr>
                <w:bCs/>
                <w:lang w:val="zh-CN"/>
              </w:rPr>
              <w:t>0.021</w:t>
            </w:r>
          </w:p>
        </w:tc>
        <w:tc>
          <w:tcPr>
            <w:tcW w:w="1050" w:type="dxa"/>
            <w:vAlign w:val="center"/>
          </w:tcPr>
          <w:p>
            <w:pPr>
              <w:spacing w:after="0" w:line="240" w:lineRule="auto"/>
              <w:jc w:val="center"/>
              <w:rPr>
                <w:bCs/>
                <w:lang w:val="zh-CN"/>
              </w:rPr>
            </w:pPr>
            <w:r>
              <w:rPr>
                <w:bCs/>
                <w:lang w:val="zh-CN"/>
              </w:rPr>
              <w:t>0.021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50%</w:t>
            </w:r>
          </w:p>
        </w:tc>
        <w:tc>
          <w:tcPr>
            <w:tcW w:w="1209" w:type="dxa"/>
            <w:vAlign w:val="center"/>
          </w:tcPr>
          <w:p>
            <w:pPr>
              <w:spacing w:after="0" w:line="240" w:lineRule="auto"/>
              <w:jc w:val="center"/>
              <w:rPr>
                <w:rFonts w:eastAsia="宋体"/>
                <w:bCs/>
              </w:rPr>
            </w:pPr>
            <w:r>
              <w:rPr>
                <w:bCs/>
                <w:lang w:val="zh-CN"/>
              </w:rPr>
              <w:t>0.025</w:t>
            </w:r>
          </w:p>
        </w:tc>
        <w:tc>
          <w:tcPr>
            <w:tcW w:w="1095" w:type="dxa"/>
            <w:vAlign w:val="center"/>
          </w:tcPr>
          <w:p>
            <w:pPr>
              <w:spacing w:after="0" w:line="240" w:lineRule="auto"/>
              <w:jc w:val="center"/>
              <w:rPr>
                <w:rFonts w:eastAsia="宋体"/>
                <w:bCs/>
              </w:rPr>
            </w:pPr>
            <w:r>
              <w:rPr>
                <w:bCs/>
                <w:lang w:val="zh-CN"/>
              </w:rPr>
              <w:t>0.025</w:t>
            </w:r>
          </w:p>
        </w:tc>
        <w:tc>
          <w:tcPr>
            <w:tcW w:w="1110" w:type="dxa"/>
            <w:vAlign w:val="center"/>
          </w:tcPr>
          <w:p>
            <w:pPr>
              <w:spacing w:after="0" w:line="240" w:lineRule="auto"/>
              <w:jc w:val="center"/>
              <w:rPr>
                <w:rFonts w:eastAsia="宋体"/>
                <w:bCs/>
              </w:rPr>
            </w:pPr>
            <w:r>
              <w:rPr>
                <w:bCs/>
                <w:lang w:val="zh-CN"/>
              </w:rPr>
              <w:t>0.030</w:t>
            </w:r>
          </w:p>
        </w:tc>
        <w:tc>
          <w:tcPr>
            <w:tcW w:w="1200" w:type="dxa"/>
            <w:vAlign w:val="center"/>
          </w:tcPr>
          <w:p>
            <w:pPr>
              <w:spacing w:after="0" w:line="240" w:lineRule="auto"/>
              <w:jc w:val="center"/>
              <w:rPr>
                <w:rFonts w:eastAsia="宋体"/>
                <w:bCs/>
              </w:rPr>
            </w:pPr>
            <w:r>
              <w:rPr>
                <w:bCs/>
                <w:lang w:val="zh-CN"/>
              </w:rPr>
              <w:t>0.029</w:t>
            </w:r>
          </w:p>
        </w:tc>
        <w:tc>
          <w:tcPr>
            <w:tcW w:w="1215" w:type="dxa"/>
            <w:vAlign w:val="center"/>
          </w:tcPr>
          <w:p>
            <w:pPr>
              <w:spacing w:after="0" w:line="240" w:lineRule="auto"/>
              <w:jc w:val="center"/>
              <w:rPr>
                <w:bCs/>
                <w:lang w:val="zh-CN"/>
              </w:rPr>
            </w:pPr>
            <w:r>
              <w:rPr>
                <w:bCs/>
                <w:lang w:val="zh-CN"/>
              </w:rPr>
              <w:t>0.051</w:t>
            </w:r>
          </w:p>
        </w:tc>
        <w:tc>
          <w:tcPr>
            <w:tcW w:w="1050" w:type="dxa"/>
            <w:vAlign w:val="center"/>
          </w:tcPr>
          <w:p>
            <w:pPr>
              <w:spacing w:after="0" w:line="240" w:lineRule="auto"/>
              <w:jc w:val="center"/>
              <w:rPr>
                <w:bCs/>
                <w:lang w:val="zh-CN"/>
              </w:rPr>
            </w:pPr>
            <w:r>
              <w:rPr>
                <w:bCs/>
                <w:lang w:val="zh-CN"/>
              </w:rPr>
              <w:t>0.046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95%</w:t>
            </w:r>
          </w:p>
        </w:tc>
        <w:tc>
          <w:tcPr>
            <w:tcW w:w="1209" w:type="dxa"/>
            <w:vAlign w:val="center"/>
          </w:tcPr>
          <w:p>
            <w:pPr>
              <w:spacing w:after="0" w:line="240" w:lineRule="auto"/>
              <w:jc w:val="center"/>
              <w:rPr>
                <w:rFonts w:eastAsia="宋体"/>
                <w:bCs/>
              </w:rPr>
            </w:pPr>
            <w:r>
              <w:rPr>
                <w:bCs/>
                <w:lang w:val="zh-CN"/>
              </w:rPr>
              <w:t>0.180</w:t>
            </w:r>
          </w:p>
        </w:tc>
        <w:tc>
          <w:tcPr>
            <w:tcW w:w="1095" w:type="dxa"/>
            <w:vAlign w:val="center"/>
          </w:tcPr>
          <w:p>
            <w:pPr>
              <w:spacing w:after="0" w:line="240" w:lineRule="auto"/>
              <w:jc w:val="center"/>
              <w:rPr>
                <w:rFonts w:eastAsia="宋体"/>
                <w:bCs/>
              </w:rPr>
            </w:pPr>
            <w:r>
              <w:rPr>
                <w:bCs/>
                <w:lang w:val="zh-CN"/>
              </w:rPr>
              <w:t>0.176</w:t>
            </w:r>
          </w:p>
        </w:tc>
        <w:tc>
          <w:tcPr>
            <w:tcW w:w="1110" w:type="dxa"/>
            <w:vAlign w:val="center"/>
          </w:tcPr>
          <w:p>
            <w:pPr>
              <w:spacing w:after="0" w:line="240" w:lineRule="auto"/>
              <w:jc w:val="center"/>
              <w:rPr>
                <w:rFonts w:eastAsia="宋体"/>
                <w:bCs/>
              </w:rPr>
            </w:pPr>
            <w:r>
              <w:rPr>
                <w:bCs/>
                <w:lang w:val="zh-CN"/>
              </w:rPr>
              <w:t>0.193</w:t>
            </w:r>
          </w:p>
        </w:tc>
        <w:tc>
          <w:tcPr>
            <w:tcW w:w="1200" w:type="dxa"/>
            <w:vAlign w:val="center"/>
          </w:tcPr>
          <w:p>
            <w:pPr>
              <w:spacing w:after="0" w:line="240" w:lineRule="auto"/>
              <w:jc w:val="center"/>
              <w:rPr>
                <w:rFonts w:eastAsia="宋体"/>
                <w:bCs/>
              </w:rPr>
            </w:pPr>
            <w:r>
              <w:rPr>
                <w:bCs/>
                <w:lang w:val="zh-CN"/>
              </w:rPr>
              <w:t>0.187</w:t>
            </w:r>
          </w:p>
        </w:tc>
        <w:tc>
          <w:tcPr>
            <w:tcW w:w="1215" w:type="dxa"/>
            <w:vAlign w:val="center"/>
          </w:tcPr>
          <w:p>
            <w:pPr>
              <w:spacing w:after="0" w:line="240" w:lineRule="auto"/>
              <w:jc w:val="center"/>
              <w:rPr>
                <w:bCs/>
                <w:lang w:val="zh-CN"/>
              </w:rPr>
            </w:pPr>
            <w:r>
              <w:rPr>
                <w:bCs/>
                <w:lang w:val="zh-CN"/>
              </w:rPr>
              <w:t>0.395</w:t>
            </w:r>
          </w:p>
        </w:tc>
        <w:tc>
          <w:tcPr>
            <w:tcW w:w="1050" w:type="dxa"/>
            <w:vAlign w:val="center"/>
          </w:tcPr>
          <w:p>
            <w:pPr>
              <w:spacing w:after="0" w:line="240" w:lineRule="auto"/>
              <w:jc w:val="center"/>
              <w:rPr>
                <w:bCs/>
                <w:lang w:val="zh-CN"/>
              </w:rPr>
            </w:pPr>
            <w:r>
              <w:rPr>
                <w:bCs/>
                <w:lang w:val="zh-CN"/>
              </w:rPr>
              <w:t>0.342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314" w:type="dxa"/>
            <w:vMerge w:val="continue"/>
            <w:vAlign w:val="center"/>
          </w:tcPr>
          <w:p>
            <w:pPr>
              <w:spacing w:after="0" w:line="240" w:lineRule="auto"/>
              <w:jc w:val="center"/>
              <w:rPr>
                <w:bCs/>
              </w:rPr>
            </w:pPr>
          </w:p>
        </w:tc>
        <w:tc>
          <w:tcPr>
            <w:tcW w:w="523" w:type="dxa"/>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Mean</w:t>
            </w:r>
          </w:p>
        </w:tc>
        <w:tc>
          <w:tcPr>
            <w:tcW w:w="1209" w:type="dxa"/>
            <w:vAlign w:val="center"/>
          </w:tcPr>
          <w:p>
            <w:pPr>
              <w:spacing w:after="0" w:line="240" w:lineRule="auto"/>
              <w:jc w:val="center"/>
              <w:rPr>
                <w:rFonts w:eastAsia="宋体"/>
                <w:bCs/>
              </w:rPr>
            </w:pPr>
            <w:r>
              <w:rPr>
                <w:bCs/>
                <w:lang w:val="zh-CN"/>
              </w:rPr>
              <w:t>0.050</w:t>
            </w:r>
          </w:p>
        </w:tc>
        <w:tc>
          <w:tcPr>
            <w:tcW w:w="1095" w:type="dxa"/>
            <w:vAlign w:val="center"/>
          </w:tcPr>
          <w:p>
            <w:pPr>
              <w:spacing w:after="0" w:line="240" w:lineRule="auto"/>
              <w:jc w:val="center"/>
              <w:rPr>
                <w:rFonts w:eastAsia="宋体"/>
                <w:bCs/>
              </w:rPr>
            </w:pPr>
            <w:r>
              <w:rPr>
                <w:bCs/>
                <w:lang w:val="zh-CN"/>
              </w:rPr>
              <w:t>0.049</w:t>
            </w:r>
          </w:p>
        </w:tc>
        <w:tc>
          <w:tcPr>
            <w:tcW w:w="1110" w:type="dxa"/>
            <w:vAlign w:val="center"/>
          </w:tcPr>
          <w:p>
            <w:pPr>
              <w:spacing w:after="0" w:line="240" w:lineRule="auto"/>
              <w:jc w:val="center"/>
              <w:rPr>
                <w:rFonts w:eastAsia="宋体"/>
                <w:bCs/>
              </w:rPr>
            </w:pPr>
            <w:r>
              <w:rPr>
                <w:bCs/>
                <w:lang w:val="zh-CN"/>
              </w:rPr>
              <w:t>0.054</w:t>
            </w:r>
          </w:p>
        </w:tc>
        <w:tc>
          <w:tcPr>
            <w:tcW w:w="1200" w:type="dxa"/>
            <w:vAlign w:val="center"/>
          </w:tcPr>
          <w:p>
            <w:pPr>
              <w:spacing w:after="0" w:line="240" w:lineRule="auto"/>
              <w:jc w:val="center"/>
              <w:rPr>
                <w:rFonts w:eastAsia="宋体"/>
                <w:bCs/>
              </w:rPr>
            </w:pPr>
            <w:r>
              <w:rPr>
                <w:bCs/>
                <w:lang w:val="zh-CN"/>
              </w:rPr>
              <w:t>0.053</w:t>
            </w:r>
          </w:p>
        </w:tc>
        <w:tc>
          <w:tcPr>
            <w:tcW w:w="1215" w:type="dxa"/>
            <w:vAlign w:val="center"/>
          </w:tcPr>
          <w:p>
            <w:pPr>
              <w:spacing w:after="0" w:line="240" w:lineRule="auto"/>
              <w:jc w:val="center"/>
              <w:rPr>
                <w:bCs/>
                <w:lang w:val="zh-CN"/>
              </w:rPr>
            </w:pPr>
            <w:r>
              <w:rPr>
                <w:bCs/>
                <w:lang w:val="zh-CN"/>
              </w:rPr>
              <w:t>0.110</w:t>
            </w:r>
          </w:p>
        </w:tc>
        <w:tc>
          <w:tcPr>
            <w:tcW w:w="1050" w:type="dxa"/>
            <w:vAlign w:val="center"/>
          </w:tcPr>
          <w:p>
            <w:pPr>
              <w:spacing w:after="0" w:line="240" w:lineRule="auto"/>
              <w:jc w:val="center"/>
              <w:rPr>
                <w:bCs/>
                <w:lang w:val="zh-CN"/>
              </w:rPr>
            </w:pPr>
            <w:r>
              <w:rPr>
                <w:bCs/>
                <w:lang w:val="zh-CN"/>
              </w:rPr>
              <w:t>0.093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837" w:type="dxa"/>
            <w:gridSpan w:val="2"/>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 xml:space="preserve">BO </w:t>
            </w:r>
            <w:r>
              <w:rPr>
                <w:bCs/>
                <w:sz w:val="20"/>
                <w:szCs w:val="20"/>
              </w:rPr>
              <w:t>(DL)(%)</w:t>
            </w:r>
          </w:p>
        </w:tc>
        <w:tc>
          <w:tcPr>
            <w:tcW w:w="1209" w:type="dxa"/>
            <w:vAlign w:val="center"/>
          </w:tcPr>
          <w:p>
            <w:pPr>
              <w:spacing w:after="0" w:line="240" w:lineRule="auto"/>
              <w:jc w:val="center"/>
              <w:rPr>
                <w:bCs/>
              </w:rPr>
            </w:pPr>
            <w:r>
              <w:rPr>
                <w:bCs/>
                <w:lang w:val="zh-CN"/>
              </w:rPr>
              <w:t>8.952</w:t>
            </w:r>
          </w:p>
        </w:tc>
        <w:tc>
          <w:tcPr>
            <w:tcW w:w="1095" w:type="dxa"/>
            <w:vAlign w:val="center"/>
          </w:tcPr>
          <w:p>
            <w:pPr>
              <w:spacing w:after="0" w:line="240" w:lineRule="auto"/>
              <w:jc w:val="center"/>
              <w:rPr>
                <w:rFonts w:eastAsia="宋体"/>
                <w:bCs/>
              </w:rPr>
            </w:pPr>
            <w:r>
              <w:rPr>
                <w:bCs/>
                <w:lang w:val="zh-CN"/>
              </w:rPr>
              <w:t>9.024</w:t>
            </w:r>
          </w:p>
        </w:tc>
        <w:tc>
          <w:tcPr>
            <w:tcW w:w="1110" w:type="dxa"/>
            <w:vAlign w:val="center"/>
          </w:tcPr>
          <w:p>
            <w:pPr>
              <w:spacing w:after="0" w:line="240" w:lineRule="auto"/>
              <w:jc w:val="center"/>
              <w:rPr>
                <w:rFonts w:eastAsia="宋体"/>
                <w:bCs/>
                <w:lang w:val="en-US" w:eastAsia="zh-CN"/>
              </w:rPr>
            </w:pPr>
            <w:r>
              <w:rPr>
                <w:bCs/>
                <w:lang w:val="zh-CN"/>
              </w:rPr>
              <w:t>17.128</w:t>
            </w:r>
          </w:p>
        </w:tc>
        <w:tc>
          <w:tcPr>
            <w:tcW w:w="1200" w:type="dxa"/>
            <w:vAlign w:val="center"/>
          </w:tcPr>
          <w:p>
            <w:pPr>
              <w:spacing w:after="0" w:line="240" w:lineRule="auto"/>
              <w:jc w:val="center"/>
              <w:rPr>
                <w:rFonts w:eastAsia="宋体"/>
                <w:bCs/>
              </w:rPr>
            </w:pPr>
            <w:r>
              <w:rPr>
                <w:bCs/>
                <w:lang w:val="zh-CN"/>
              </w:rPr>
              <w:t>17.674</w:t>
            </w:r>
          </w:p>
        </w:tc>
        <w:tc>
          <w:tcPr>
            <w:tcW w:w="1215" w:type="dxa"/>
            <w:vAlign w:val="center"/>
          </w:tcPr>
          <w:p>
            <w:pPr>
              <w:spacing w:after="0" w:line="240" w:lineRule="auto"/>
              <w:jc w:val="center"/>
              <w:rPr>
                <w:bCs/>
                <w:lang w:val="zh-CN"/>
              </w:rPr>
            </w:pPr>
            <w:r>
              <w:rPr>
                <w:bCs/>
                <w:lang w:val="zh-CN"/>
              </w:rPr>
              <w:t>38.534</w:t>
            </w:r>
          </w:p>
        </w:tc>
        <w:tc>
          <w:tcPr>
            <w:tcW w:w="1050" w:type="dxa"/>
            <w:vAlign w:val="center"/>
          </w:tcPr>
          <w:p>
            <w:pPr>
              <w:spacing w:after="0" w:line="240" w:lineRule="auto"/>
              <w:jc w:val="center"/>
              <w:rPr>
                <w:bCs/>
                <w:lang w:val="zh-CN"/>
              </w:rPr>
            </w:pPr>
            <w:r>
              <w:rPr>
                <w:bCs/>
                <w:lang w:val="zh-CN"/>
              </w:rPr>
              <w:t>38.626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22" w:hRule="atLeast"/>
          <w:jc w:val="center"/>
        </w:trPr>
        <w:tc>
          <w:tcPr>
            <w:tcW w:w="1837" w:type="dxa"/>
            <w:gridSpan w:val="2"/>
            <w:vAlign w:val="center"/>
          </w:tcPr>
          <w:p>
            <w:pPr>
              <w:pStyle w:val="24"/>
              <w:spacing w:before="0" w:beforeAutospacing="0" w:after="0" w:afterAutospacing="0" w:line="240" w:lineRule="auto"/>
              <w:jc w:val="center"/>
              <w:rPr>
                <w:rFonts w:eastAsia="宋体"/>
                <w:bCs/>
                <w:sz w:val="20"/>
                <w:szCs w:val="20"/>
              </w:rPr>
            </w:pPr>
            <w:r>
              <w:rPr>
                <w:rFonts w:eastAsia="宋体"/>
                <w:bCs/>
                <w:sz w:val="20"/>
                <w:szCs w:val="20"/>
              </w:rPr>
              <w:t xml:space="preserve">BO </w:t>
            </w:r>
            <w:r>
              <w:rPr>
                <w:bCs/>
                <w:sz w:val="20"/>
                <w:szCs w:val="20"/>
              </w:rPr>
              <w:t>(UL)(%)</w:t>
            </w:r>
          </w:p>
        </w:tc>
        <w:tc>
          <w:tcPr>
            <w:tcW w:w="1209" w:type="dxa"/>
            <w:vAlign w:val="center"/>
          </w:tcPr>
          <w:p>
            <w:pPr>
              <w:spacing w:after="0" w:line="240" w:lineRule="auto"/>
              <w:jc w:val="center"/>
              <w:rPr>
                <w:bCs/>
              </w:rPr>
            </w:pPr>
            <w:r>
              <w:rPr>
                <w:bCs/>
                <w:lang w:val="zh-CN"/>
              </w:rPr>
              <w:t>8.450</w:t>
            </w:r>
          </w:p>
        </w:tc>
        <w:tc>
          <w:tcPr>
            <w:tcW w:w="1095" w:type="dxa"/>
            <w:vAlign w:val="center"/>
          </w:tcPr>
          <w:p>
            <w:pPr>
              <w:spacing w:after="0" w:line="240" w:lineRule="auto"/>
              <w:jc w:val="center"/>
              <w:rPr>
                <w:rFonts w:eastAsia="宋体"/>
                <w:bCs/>
              </w:rPr>
            </w:pPr>
            <w:r>
              <w:rPr>
                <w:bCs/>
                <w:lang w:val="zh-CN"/>
              </w:rPr>
              <w:t>8.321</w:t>
            </w:r>
          </w:p>
        </w:tc>
        <w:tc>
          <w:tcPr>
            <w:tcW w:w="1110" w:type="dxa"/>
            <w:vAlign w:val="center"/>
          </w:tcPr>
          <w:p>
            <w:pPr>
              <w:spacing w:after="0" w:line="240" w:lineRule="auto"/>
              <w:jc w:val="center"/>
              <w:rPr>
                <w:rFonts w:eastAsia="宋体"/>
                <w:bCs/>
              </w:rPr>
            </w:pPr>
            <w:r>
              <w:rPr>
                <w:bCs/>
                <w:lang w:val="zh-CN"/>
              </w:rPr>
              <w:t>14.673</w:t>
            </w:r>
          </w:p>
        </w:tc>
        <w:tc>
          <w:tcPr>
            <w:tcW w:w="1200" w:type="dxa"/>
            <w:vAlign w:val="center"/>
          </w:tcPr>
          <w:p>
            <w:pPr>
              <w:spacing w:after="0" w:line="240" w:lineRule="auto"/>
              <w:jc w:val="center"/>
              <w:rPr>
                <w:rFonts w:eastAsia="宋体"/>
                <w:bCs/>
              </w:rPr>
            </w:pPr>
            <w:r>
              <w:rPr>
                <w:bCs/>
                <w:lang w:val="zh-CN"/>
              </w:rPr>
              <w:t>14.372</w:t>
            </w:r>
          </w:p>
        </w:tc>
        <w:tc>
          <w:tcPr>
            <w:tcW w:w="1215" w:type="dxa"/>
            <w:vAlign w:val="center"/>
          </w:tcPr>
          <w:p>
            <w:pPr>
              <w:spacing w:after="0" w:line="240" w:lineRule="auto"/>
              <w:jc w:val="center"/>
              <w:rPr>
                <w:bCs/>
                <w:lang w:val="zh-CN"/>
              </w:rPr>
            </w:pPr>
            <w:r>
              <w:rPr>
                <w:bCs/>
                <w:lang w:val="zh-CN"/>
              </w:rPr>
              <w:t>30.817</w:t>
            </w:r>
          </w:p>
        </w:tc>
        <w:tc>
          <w:tcPr>
            <w:tcW w:w="1050" w:type="dxa"/>
            <w:vAlign w:val="center"/>
          </w:tcPr>
          <w:p>
            <w:pPr>
              <w:spacing w:after="0" w:line="240" w:lineRule="auto"/>
              <w:jc w:val="center"/>
              <w:rPr>
                <w:bCs/>
                <w:lang w:val="zh-CN"/>
              </w:rPr>
            </w:pPr>
            <w:r>
              <w:rPr>
                <w:bCs/>
                <w:lang w:val="zh-CN"/>
              </w:rPr>
              <w:t>27.905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cantSplit/>
          <w:trHeight w:val="429" w:hRule="atLeast"/>
          <w:jc w:val="center"/>
        </w:trPr>
        <w:tc>
          <w:tcPr>
            <w:tcW w:w="1837" w:type="dxa"/>
            <w:gridSpan w:val="2"/>
            <w:vAlign w:val="center"/>
          </w:tcPr>
          <w:p>
            <w:pPr>
              <w:spacing w:after="0" w:line="240" w:lineRule="auto"/>
              <w:jc w:val="center"/>
              <w:rPr>
                <w:rFonts w:eastAsia="宋体"/>
                <w:bCs/>
              </w:rPr>
            </w:pPr>
            <w:r>
              <w:t>𝜆</w:t>
            </w:r>
          </w:p>
        </w:tc>
        <w:tc>
          <w:tcPr>
            <w:tcW w:w="2304" w:type="dxa"/>
            <w:gridSpan w:val="2"/>
            <w:vAlign w:val="center"/>
          </w:tcPr>
          <w:p>
            <w:pPr>
              <w:spacing w:after="0" w:line="240" w:lineRule="auto"/>
              <w:jc w:val="center"/>
              <w:rPr>
                <w:bCs/>
                <w:lang w:val="en-US" w:eastAsia="zh-CN"/>
              </w:rPr>
            </w:pPr>
            <w:r>
              <w:rPr>
                <w:bCs/>
                <w:lang w:val="en-US" w:eastAsia="zh-CN"/>
              </w:rPr>
              <w:t>DL: 0.3 files/s</w:t>
            </w:r>
          </w:p>
          <w:p>
            <w:pPr>
              <w:spacing w:after="0" w:line="240" w:lineRule="auto"/>
              <w:jc w:val="center"/>
              <w:rPr>
                <w:bCs/>
                <w:lang w:val="en-US" w:eastAsia="zh-CN"/>
              </w:rPr>
            </w:pPr>
            <w:r>
              <w:rPr>
                <w:bCs/>
                <w:lang w:val="en-US" w:eastAsia="zh-CN"/>
              </w:rPr>
              <w:t>UL: 0.3 files/s</w:t>
            </w:r>
          </w:p>
        </w:tc>
        <w:tc>
          <w:tcPr>
            <w:tcW w:w="2310" w:type="dxa"/>
            <w:gridSpan w:val="2"/>
            <w:vAlign w:val="center"/>
          </w:tcPr>
          <w:p>
            <w:pPr>
              <w:spacing w:after="0" w:line="240" w:lineRule="auto"/>
              <w:jc w:val="center"/>
              <w:rPr>
                <w:bCs/>
                <w:lang w:val="en-US" w:eastAsia="zh-CN"/>
              </w:rPr>
            </w:pPr>
            <w:r>
              <w:rPr>
                <w:bCs/>
                <w:lang w:val="en-US" w:eastAsia="zh-CN"/>
              </w:rPr>
              <w:t>DL: 0.5 files/s</w:t>
            </w:r>
          </w:p>
          <w:p>
            <w:pPr>
              <w:spacing w:after="0" w:line="240" w:lineRule="auto"/>
              <w:jc w:val="center"/>
              <w:rPr>
                <w:bCs/>
                <w:lang w:val="en-US" w:eastAsia="zh-CN"/>
              </w:rPr>
            </w:pPr>
            <w:r>
              <w:rPr>
                <w:bCs/>
                <w:lang w:val="en-US" w:eastAsia="zh-CN"/>
              </w:rPr>
              <w:t>UL: 0.5 files/s</w:t>
            </w:r>
          </w:p>
        </w:tc>
        <w:tc>
          <w:tcPr>
            <w:tcW w:w="2265" w:type="dxa"/>
            <w:gridSpan w:val="2"/>
            <w:vAlign w:val="center"/>
          </w:tcPr>
          <w:p>
            <w:pPr>
              <w:spacing w:after="0" w:line="240" w:lineRule="auto"/>
              <w:jc w:val="center"/>
              <w:rPr>
                <w:bCs/>
                <w:lang w:val="en-US" w:eastAsia="zh-CN"/>
              </w:rPr>
            </w:pPr>
            <w:r>
              <w:rPr>
                <w:bCs/>
                <w:lang w:val="en-US" w:eastAsia="zh-CN"/>
              </w:rPr>
              <w:t>DL: 0.8 files/s</w:t>
            </w:r>
          </w:p>
          <w:p>
            <w:pPr>
              <w:spacing w:after="0" w:line="240" w:lineRule="auto"/>
              <w:jc w:val="center"/>
              <w:rPr>
                <w:bCs/>
                <w:lang w:val="en-US" w:eastAsia="zh-CN"/>
              </w:rPr>
            </w:pPr>
            <w:r>
              <w:rPr>
                <w:bCs/>
                <w:lang w:val="en-US" w:eastAsia="zh-CN"/>
              </w:rPr>
              <w:t>UL: 0.8 files/s</w:t>
            </w:r>
          </w:p>
        </w:tc>
      </w:tr>
      <w:bookmarkEnd w:id="6"/>
    </w:tbl>
    <w:p>
      <w:pPr>
        <w:tabs>
          <w:tab w:val="left" w:pos="450"/>
          <w:tab w:val="left" w:pos="720"/>
        </w:tabs>
        <w:spacing w:before="120" w:after="120" w:line="240" w:lineRule="auto"/>
        <w:jc w:val="center"/>
        <w:rPr>
          <w:rFonts w:eastAsiaTheme="minorEastAsia"/>
          <w:lang w:val="en-US" w:eastAsia="zh-CN"/>
        </w:rPr>
      </w:pPr>
    </w:p>
    <w:p>
      <w:pPr>
        <w:tabs>
          <w:tab w:val="left" w:pos="450"/>
          <w:tab w:val="left" w:pos="720"/>
        </w:tabs>
        <w:spacing w:before="137" w:beforeLines="50" w:after="137" w:afterLines="50" w:line="240" w:lineRule="auto"/>
        <w:jc w:val="both"/>
        <w:rPr>
          <w:lang w:val="en-US" w:eastAsia="zh-CN"/>
        </w:rPr>
      </w:pPr>
      <w:r>
        <w:rPr>
          <w:rFonts w:hint="eastAsia"/>
          <w:lang w:val="en-US" w:eastAsia="zh-CN"/>
        </w:rPr>
        <w:t>Simulation results show that multiplexing/Frequency reuse with blank pattern schemes can achieve performance improvement compared to no- multiplexing/Frequency reuse and the gain increases with the increase of traffic load.</w:t>
      </w:r>
    </w:p>
    <w:p>
      <w:pPr>
        <w:spacing w:before="137" w:beforeLines="50" w:after="137" w:afterLines="50" w:line="240" w:lineRule="auto"/>
        <w:jc w:val="both"/>
        <w:rPr>
          <w:lang w:val="en-US" w:eastAsia="zh-CN"/>
        </w:rPr>
      </w:pPr>
      <w:r>
        <w:rPr>
          <w:rFonts w:hint="eastAsia"/>
          <w:b/>
          <w:bCs/>
          <w:lang w:val="en-US" w:eastAsia="zh-CN"/>
        </w:rPr>
        <w:t>Proposal 18:</w:t>
      </w:r>
      <w:r>
        <w:rPr>
          <w:rFonts w:hint="eastAsia"/>
          <w:i/>
          <w:iCs/>
          <w:lang w:val="en-US" w:eastAsia="zh-CN"/>
        </w:rPr>
        <w:t xml:space="preserve"> Multiplexing/Frequency reuse with blank pattern schemes can achieve performance improvement compared to no-multiplexing/Frequency reuse the gain increases with the increase of traffic load.</w:t>
      </w:r>
      <w:r>
        <w:rPr>
          <w:rFonts w:hint="eastAsia" w:ascii="Times New Roman" w:hAnsi="Times New Roman"/>
          <w:b/>
          <w:bCs w:val="0"/>
          <w:sz w:val="24"/>
          <w:szCs w:val="24"/>
          <w:lang w:val="en-US" w:eastAsia="zh-CN"/>
        </w:rPr>
        <w:t xml:space="preserve">  </w:t>
      </w:r>
      <w:r>
        <w:rPr>
          <w:rFonts w:hint="eastAsia"/>
          <w:i/>
          <w:iCs/>
          <w:lang w:val="en-US" w:eastAsia="zh-CN"/>
        </w:rPr>
        <w:t xml:space="preserve"> </w:t>
      </w:r>
    </w:p>
    <w:p>
      <w:pPr>
        <w:pStyle w:val="3"/>
        <w:spacing w:before="120" w:after="120" w:line="240" w:lineRule="auto"/>
        <w:jc w:val="both"/>
        <w:rPr>
          <w:rFonts w:ascii="Times New Roman" w:hAnsi="Times New Roman"/>
          <w:b/>
          <w:bCs w:val="0"/>
          <w:sz w:val="24"/>
          <w:szCs w:val="24"/>
          <w:lang w:val="en-US" w:eastAsia="zh-CN"/>
        </w:rPr>
      </w:pPr>
      <w:r>
        <w:rPr>
          <w:rFonts w:hint="eastAsia" w:ascii="Times New Roman" w:hAnsi="Times New Roman"/>
          <w:b/>
          <w:bCs w:val="0"/>
          <w:sz w:val="24"/>
          <w:szCs w:val="24"/>
          <w:lang w:val="en-US" w:eastAsia="zh-CN"/>
        </w:rPr>
        <w:t xml:space="preserve"> </w:t>
      </w:r>
      <w:r>
        <w:rPr>
          <w:rFonts w:ascii="Times New Roman" w:hAnsi="Times New Roman"/>
          <w:b/>
          <w:bCs w:val="0"/>
          <w:sz w:val="24"/>
          <w:szCs w:val="24"/>
          <w:lang w:val="en-US" w:eastAsia="zh-CN"/>
        </w:rPr>
        <w:t>Receiver assisted LBT</w:t>
      </w:r>
    </w:p>
    <w:p>
      <w:pPr>
        <w:spacing w:before="137" w:beforeLines="50" w:after="137" w:afterLines="50" w:line="240" w:lineRule="auto"/>
        <w:jc w:val="both"/>
        <w:rPr>
          <w:lang w:val="en-US" w:eastAsia="zh-CN"/>
        </w:rPr>
      </w:pPr>
      <w:r>
        <w:rPr>
          <w:lang w:val="en-US" w:eastAsia="zh-CN"/>
        </w:rPr>
        <w:t>R</w:t>
      </w:r>
      <w:r>
        <w:rPr>
          <w:rFonts w:hint="eastAsia"/>
          <w:lang w:val="en-US" w:eastAsia="zh-CN"/>
        </w:rPr>
        <w:t xml:space="preserve">eceiver assisted LBT has been supported to enhance </w:t>
      </w:r>
      <w:r>
        <w:rPr>
          <w:bCs/>
          <w:lang w:val="en-US"/>
        </w:rPr>
        <w:t>performance beyond the baseline LBT mechanism</w:t>
      </w:r>
      <w:r>
        <w:rPr>
          <w:rFonts w:hint="eastAsia" w:eastAsia="宋体"/>
          <w:bCs/>
          <w:lang w:val="en-US" w:eastAsia="zh-CN"/>
        </w:rPr>
        <w:t xml:space="preserve"> in RAN1 #92bis meeting. Based on this, we need to </w:t>
      </w:r>
      <w:r>
        <w:rPr>
          <w:rFonts w:eastAsia="宋体"/>
          <w:bCs/>
          <w:lang w:val="en-US" w:eastAsia="zh-CN"/>
        </w:rPr>
        <w:t xml:space="preserve">further </w:t>
      </w:r>
      <w:r>
        <w:rPr>
          <w:rFonts w:hint="eastAsia" w:eastAsia="宋体"/>
          <w:bCs/>
          <w:lang w:val="en-US" w:eastAsia="zh-CN"/>
        </w:rPr>
        <w:t>study the hidden node problem</w:t>
      </w:r>
      <w:r>
        <w:rPr>
          <w:rFonts w:eastAsia="宋体"/>
          <w:bCs/>
          <w:lang w:val="en-US" w:eastAsia="zh-CN"/>
        </w:rPr>
        <w:t>s</w:t>
      </w:r>
      <w:r>
        <w:rPr>
          <w:rFonts w:hint="eastAsia" w:eastAsia="宋体"/>
          <w:bCs/>
          <w:lang w:val="en-US" w:eastAsia="zh-CN"/>
        </w:rPr>
        <w:t xml:space="preserve"> in the </w:t>
      </w:r>
      <w:r>
        <w:rPr>
          <w:rFonts w:hint="eastAsia"/>
          <w:lang w:val="en-US" w:eastAsia="zh-CN"/>
        </w:rPr>
        <w:t>directional</w:t>
      </w:r>
      <w:r>
        <w:rPr>
          <w:rFonts w:hint="eastAsia" w:eastAsia="宋体"/>
          <w:bCs/>
          <w:lang w:val="en-US" w:eastAsia="zh-CN"/>
        </w:rPr>
        <w:t xml:space="preserve"> LBT operation. </w:t>
      </w:r>
      <w:r>
        <w:rPr>
          <w:rFonts w:hint="eastAsia"/>
          <w:lang w:val="en-US" w:eastAsia="zh-CN"/>
        </w:rPr>
        <w:t>Due to directional sensing operation, the hidden nodes problem will become more severe</w:t>
      </w:r>
      <w:r>
        <w:rPr>
          <w:lang w:val="en-US" w:eastAsia="zh-CN"/>
        </w:rPr>
        <w:t xml:space="preserve"> </w:t>
      </w:r>
      <w:r>
        <w:rPr>
          <w:rFonts w:hint="eastAsia"/>
          <w:lang w:eastAsia="zh-CN"/>
        </w:rPr>
        <w:t xml:space="preserve">as shown in </w:t>
      </w:r>
      <w:r>
        <w:rPr>
          <w:lang w:eastAsia="zh-CN"/>
        </w:rPr>
        <w:t>F</w:t>
      </w:r>
      <w:r>
        <w:rPr>
          <w:rFonts w:hint="eastAsia"/>
          <w:lang w:eastAsia="zh-CN"/>
        </w:rPr>
        <w:t xml:space="preserve">igure </w:t>
      </w:r>
      <w:r>
        <w:rPr>
          <w:rFonts w:hint="eastAsia"/>
          <w:lang w:val="en-US" w:eastAsia="zh-CN"/>
        </w:rPr>
        <w:t>12</w:t>
      </w:r>
      <w:r>
        <w:rPr>
          <w:rFonts w:hint="eastAsia"/>
          <w:lang w:eastAsia="zh-CN"/>
        </w:rPr>
        <w:t xml:space="preserve">. </w:t>
      </w:r>
      <w:r>
        <w:rPr>
          <w:lang w:eastAsia="zh-CN"/>
        </w:rPr>
        <w:t>For example, b</w:t>
      </w:r>
      <w:r>
        <w:rPr>
          <w:rFonts w:hint="eastAsia"/>
          <w:lang w:eastAsia="zh-CN"/>
        </w:rPr>
        <w:t>oth BS1 and BS2 adopt directional beam mode to transmit/receive. BS1 sense</w:t>
      </w:r>
      <w:r>
        <w:rPr>
          <w:rFonts w:hint="eastAsia" w:eastAsia="宋体"/>
          <w:lang w:eastAsia="zh-CN"/>
        </w:rPr>
        <w:t>s</w:t>
      </w:r>
      <w:r>
        <w:rPr>
          <w:rFonts w:hint="eastAsia"/>
          <w:lang w:eastAsia="zh-CN"/>
        </w:rPr>
        <w:t xml:space="preserve"> channel idle and transmit</w:t>
      </w:r>
      <w:r>
        <w:rPr>
          <w:rFonts w:hint="eastAsia" w:eastAsia="宋体"/>
          <w:lang w:eastAsia="zh-CN"/>
        </w:rPr>
        <w:t>s</w:t>
      </w:r>
      <w:r>
        <w:rPr>
          <w:rFonts w:hint="eastAsia"/>
          <w:lang w:eastAsia="zh-CN"/>
        </w:rPr>
        <w:t xml:space="preserve"> to UE1</w:t>
      </w:r>
      <w:r>
        <w:rPr>
          <w:rFonts w:hint="eastAsia" w:eastAsia="宋体"/>
          <w:lang w:eastAsia="zh-CN"/>
        </w:rPr>
        <w:t>.</w:t>
      </w:r>
      <w:r>
        <w:rPr>
          <w:rFonts w:hint="eastAsia"/>
          <w:lang w:eastAsia="zh-CN"/>
        </w:rPr>
        <w:t xml:space="preserve"> BS2</w:t>
      </w:r>
      <w:r>
        <w:rPr>
          <w:rFonts w:hint="eastAsia"/>
          <w:lang w:val="en-US" w:eastAsia="zh-CN"/>
        </w:rPr>
        <w:t xml:space="preserve"> in its beam direction</w:t>
      </w:r>
      <w:r>
        <w:rPr>
          <w:rFonts w:hint="eastAsia"/>
          <w:lang w:eastAsia="zh-CN"/>
        </w:rPr>
        <w:t xml:space="preserve"> </w:t>
      </w:r>
      <w:r>
        <w:t>may not be able to detect the energy of BS</w:t>
      </w:r>
      <w:r>
        <w:rPr>
          <w:rFonts w:hint="eastAsia"/>
          <w:lang w:eastAsia="zh-CN"/>
        </w:rPr>
        <w:t>1</w:t>
      </w:r>
      <w:r>
        <w:t xml:space="preserve"> and hence transmits to UE</w:t>
      </w:r>
      <w:r>
        <w:rPr>
          <w:rFonts w:hint="eastAsia"/>
          <w:lang w:eastAsia="zh-CN"/>
        </w:rPr>
        <w:t>2</w:t>
      </w:r>
      <w:r>
        <w:t>.</w:t>
      </w:r>
      <w:r>
        <w:rPr>
          <w:rFonts w:hint="eastAsia"/>
          <w:lang w:eastAsia="zh-CN"/>
        </w:rPr>
        <w:t xml:space="preserve"> </w:t>
      </w:r>
      <w:r>
        <w:rPr>
          <w:lang w:eastAsia="zh-CN"/>
        </w:rPr>
        <w:t>H</w:t>
      </w:r>
      <w:r>
        <w:rPr>
          <w:rFonts w:hint="eastAsia"/>
          <w:lang w:eastAsia="zh-CN"/>
        </w:rPr>
        <w:t>owever, both UE1 and UE2 are within the coverage of BS1 and BS2 transmit beam</w:t>
      </w:r>
      <w:r>
        <w:rPr>
          <w:rFonts w:hint="eastAsia" w:eastAsia="宋体"/>
          <w:lang w:eastAsia="zh-CN"/>
        </w:rPr>
        <w:t>.</w:t>
      </w:r>
      <w:r>
        <w:rPr>
          <w:rFonts w:hint="eastAsia"/>
          <w:lang w:eastAsia="zh-CN"/>
        </w:rPr>
        <w:t xml:space="preserve"> </w:t>
      </w:r>
      <w:r>
        <w:rPr>
          <w:rFonts w:hint="eastAsia" w:eastAsia="宋体"/>
          <w:lang w:eastAsia="zh-CN"/>
        </w:rPr>
        <w:t>B</w:t>
      </w:r>
      <w:r>
        <w:rPr>
          <w:lang w:eastAsia="zh-CN"/>
        </w:rPr>
        <w:t xml:space="preserve">oth </w:t>
      </w:r>
      <w:r>
        <w:rPr>
          <w:rFonts w:hint="eastAsia"/>
          <w:lang w:eastAsia="zh-CN"/>
        </w:rPr>
        <w:t>UE1 and UE2</w:t>
      </w:r>
      <w:r>
        <w:rPr>
          <w:lang w:eastAsia="zh-CN"/>
        </w:rPr>
        <w:t xml:space="preserve"> might fail to receive the respective transmissions due to inter-RAT interference</w:t>
      </w:r>
      <w:r>
        <w:rPr>
          <w:rFonts w:hint="eastAsia"/>
          <w:lang w:eastAsia="zh-CN"/>
        </w:rPr>
        <w:t xml:space="preserve">. </w:t>
      </w:r>
      <w:r>
        <w:rPr>
          <w:rFonts w:hint="eastAsia"/>
          <w:lang w:val="en-US" w:eastAsia="zh-CN"/>
        </w:rPr>
        <w:t xml:space="preserve">For this case, the directional LBT can be enhanced </w:t>
      </w:r>
      <w:r>
        <w:rPr>
          <w:lang w:val="en-US" w:eastAsia="zh-CN"/>
        </w:rPr>
        <w:t>by</w:t>
      </w:r>
      <w:r>
        <w:rPr>
          <w:rFonts w:hint="eastAsia"/>
          <w:lang w:val="en-US" w:eastAsia="zh-CN"/>
        </w:rPr>
        <w:t xml:space="preserve"> target UE perform</w:t>
      </w:r>
      <w:r>
        <w:rPr>
          <w:lang w:val="en-US" w:eastAsia="zh-CN"/>
        </w:rPr>
        <w:t>ing</w:t>
      </w:r>
      <w:r>
        <w:rPr>
          <w:rFonts w:hint="eastAsia"/>
          <w:lang w:val="en-US" w:eastAsia="zh-CN"/>
        </w:rPr>
        <w:t xml:space="preserve"> a directional LBT and send</w:t>
      </w:r>
      <w:r>
        <w:rPr>
          <w:lang w:val="en-US" w:eastAsia="zh-CN"/>
        </w:rPr>
        <w:t>ing</w:t>
      </w:r>
      <w:r>
        <w:rPr>
          <w:rFonts w:hint="eastAsia"/>
          <w:lang w:val="en-US" w:eastAsia="zh-CN"/>
        </w:rPr>
        <w:t xml:space="preserve"> a short indication signal. Therefore, receiver assistance should be support</w:t>
      </w:r>
      <w:r>
        <w:rPr>
          <w:lang w:val="en-US" w:eastAsia="zh-CN"/>
        </w:rPr>
        <w:t>ed</w:t>
      </w:r>
      <w:r>
        <w:rPr>
          <w:rFonts w:hint="eastAsia"/>
          <w:lang w:val="en-US" w:eastAsia="zh-CN"/>
        </w:rPr>
        <w:t xml:space="preserve"> to help mitigation potential hidden node issue.</w:t>
      </w:r>
    </w:p>
    <w:p>
      <w:pPr>
        <w:spacing w:before="120" w:after="120" w:line="240" w:lineRule="auto"/>
        <w:jc w:val="center"/>
        <w:rPr>
          <w:lang w:eastAsia="zh-CN"/>
        </w:rPr>
      </w:pPr>
      <w:r>
        <w:object>
          <v:shape id="_x0000_i1036" o:spt="75" type="#_x0000_t75" style="height:142.5pt;width:192.5pt;" o:ole="t" filled="f" o:preferrelative="t" stroked="f" coordsize="21600,21600">
            <v:path/>
            <v:fill on="f" focussize="0,0"/>
            <v:stroke on="f" joinstyle="miter"/>
            <v:imagedata r:id="rId30" o:title=""/>
            <o:lock v:ext="edit" aspectratio="t"/>
            <w10:wrap type="none"/>
            <w10:anchorlock/>
          </v:shape>
          <o:OLEObject Type="Embed" ProgID="Visio.Drawing.11" ShapeID="_x0000_i1036" DrawAspect="Content" ObjectID="_1468075736" r:id="rId29">
            <o:LockedField>false</o:LockedField>
          </o:OLEObject>
        </w:object>
      </w:r>
    </w:p>
    <w:p>
      <w:pPr>
        <w:spacing w:before="120" w:after="120" w:line="240" w:lineRule="auto"/>
        <w:jc w:val="center"/>
        <w:rPr>
          <w:rFonts w:eastAsia="宋体"/>
          <w:b/>
          <w:bCs/>
          <w:lang w:eastAsia="zh-CN"/>
        </w:rPr>
      </w:pPr>
      <w:r>
        <w:rPr>
          <w:rFonts w:eastAsia="宋体"/>
          <w:b/>
          <w:bCs/>
          <w:lang w:eastAsia="zh-CN"/>
        </w:rPr>
        <w:t>Figure</w:t>
      </w:r>
      <w:r>
        <w:rPr>
          <w:rFonts w:hint="eastAsia" w:eastAsia="宋体"/>
          <w:b/>
          <w:bCs/>
          <w:lang w:val="en-US" w:eastAsia="zh-CN"/>
        </w:rPr>
        <w:t xml:space="preserve">12. </w:t>
      </w:r>
      <w:r>
        <w:rPr>
          <w:rFonts w:eastAsia="宋体"/>
          <w:b/>
          <w:bCs/>
          <w:lang w:eastAsia="zh-CN"/>
        </w:rPr>
        <w:t>Directional Tx/Rx</w:t>
      </w:r>
    </w:p>
    <w:p>
      <w:pPr>
        <w:numPr>
          <w:ilvl w:val="255"/>
          <w:numId w:val="0"/>
        </w:numPr>
        <w:tabs>
          <w:tab w:val="left" w:pos="450"/>
          <w:tab w:val="left" w:pos="720"/>
        </w:tabs>
        <w:spacing w:before="137" w:beforeLines="50" w:after="137" w:afterLines="50" w:line="240" w:lineRule="auto"/>
        <w:jc w:val="both"/>
        <w:rPr>
          <w:rFonts w:eastAsia="宋体"/>
          <w:i/>
          <w:iCs/>
          <w:sz w:val="21"/>
          <w:szCs w:val="21"/>
          <w:lang w:val="en-US" w:eastAsia="zh-CN"/>
        </w:rPr>
      </w:pPr>
      <w:r>
        <w:rPr>
          <w:rFonts w:hint="eastAsia"/>
          <w:b/>
          <w:bCs/>
          <w:lang w:val="en-US" w:eastAsia="zh-CN"/>
        </w:rPr>
        <w:t xml:space="preserve">Proposal 19: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performs a directional LBT and sends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bookmarkEnd w:id="1"/>
    <w:bookmarkEnd w:id="2"/>
    <w:bookmarkEnd w:id="3"/>
    <w:bookmarkEnd w:id="4"/>
    <w:p>
      <w:pPr>
        <w:pStyle w:val="2"/>
        <w:spacing w:before="120" w:after="120" w:line="240" w:lineRule="auto"/>
        <w:ind w:left="0" w:firstLine="0"/>
        <w:jc w:val="both"/>
        <w:rPr>
          <w:rFonts w:ascii="Times New Roman" w:hAnsi="Times New Roman" w:eastAsia="宋体"/>
          <w:b/>
          <w:sz w:val="32"/>
          <w:szCs w:val="32"/>
          <w:lang w:val="en-US" w:eastAsia="zh-CN"/>
        </w:rPr>
      </w:pPr>
      <w:bookmarkStart w:id="7" w:name="IDX-CHP-8-0995"/>
      <w:bookmarkEnd w:id="7"/>
      <w:bookmarkStart w:id="8" w:name="IDX-CHP-8-0996"/>
      <w:bookmarkEnd w:id="8"/>
      <w:bookmarkStart w:id="9" w:name="IDX-CHP-8-0992"/>
      <w:bookmarkEnd w:id="9"/>
      <w:bookmarkStart w:id="10" w:name="IDX-CHP-8-0993"/>
      <w:bookmarkEnd w:id="10"/>
      <w:bookmarkStart w:id="11" w:name="IDX-CHP-8-0994"/>
      <w:bookmarkEnd w:id="11"/>
      <w:r>
        <w:rPr>
          <w:rFonts w:ascii="Times New Roman" w:hAnsi="Times New Roman" w:eastAsia="宋体"/>
          <w:b/>
          <w:sz w:val="32"/>
          <w:szCs w:val="32"/>
          <w:lang w:val="en-US" w:eastAsia="zh-CN"/>
        </w:rPr>
        <w:t xml:space="preserve"> </w:t>
      </w:r>
      <w:r>
        <w:rPr>
          <w:rFonts w:hint="eastAsia" w:ascii="Times New Roman" w:hAnsi="Times New Roman" w:eastAsia="宋体"/>
          <w:b/>
          <w:sz w:val="32"/>
          <w:szCs w:val="32"/>
          <w:lang w:val="en-US" w:eastAsia="zh-CN"/>
        </w:rPr>
        <w:t xml:space="preserve">Conclusion </w:t>
      </w:r>
    </w:p>
    <w:p>
      <w:pPr>
        <w:widowControl w:val="0"/>
        <w:tabs>
          <w:tab w:val="left" w:pos="2784"/>
        </w:tabs>
        <w:autoSpaceDE w:val="0"/>
        <w:autoSpaceDN w:val="0"/>
        <w:adjustRightInd w:val="0"/>
        <w:spacing w:before="137" w:beforeLines="50" w:after="137" w:afterLines="50" w:line="240" w:lineRule="auto"/>
        <w:jc w:val="both"/>
        <w:rPr>
          <w:rFonts w:eastAsia="宋体"/>
          <w:lang w:val="en-US" w:eastAsia="zh-CN"/>
        </w:rPr>
      </w:pPr>
      <w:r>
        <w:rPr>
          <w:rFonts w:eastAsia="宋体"/>
          <w:lang w:val="en-US" w:eastAsia="zh-CN"/>
        </w:rPr>
        <w:t>I</w:t>
      </w:r>
      <w:r>
        <w:rPr>
          <w:rFonts w:hint="eastAsia" w:eastAsia="宋体"/>
          <w:lang w:val="en-US" w:eastAsia="zh-CN"/>
        </w:rPr>
        <w:t xml:space="preserve">n this </w:t>
      </w:r>
      <w:r>
        <w:rPr>
          <w:rFonts w:hint="eastAsia" w:eastAsia="宋体"/>
          <w:lang w:eastAsia="zh-CN"/>
        </w:rPr>
        <w:t>contribution</w:t>
      </w:r>
      <w:r>
        <w:rPr>
          <w:rFonts w:hint="eastAsia" w:eastAsia="宋体"/>
          <w:lang w:val="en-US" w:eastAsia="zh-CN"/>
        </w:rPr>
        <w:t>,</w:t>
      </w:r>
      <w:r>
        <w:rPr>
          <w:rFonts w:eastAsia="宋体"/>
          <w:lang w:val="en-US" w:eastAsia="zh-CN"/>
        </w:rPr>
        <w:t xml:space="preserve"> we </w:t>
      </w:r>
      <w:r>
        <w:rPr>
          <w:rFonts w:hint="eastAsia" w:eastAsia="宋体"/>
          <w:lang w:val="en-US" w:eastAsia="zh-CN"/>
        </w:rPr>
        <w:t>share our view</w:t>
      </w:r>
      <w:r>
        <w:rPr>
          <w:rFonts w:eastAsia="宋体"/>
          <w:lang w:val="en-US" w:eastAsia="zh-CN"/>
        </w:rPr>
        <w:t>s</w:t>
      </w:r>
      <w:r>
        <w:rPr>
          <w:rFonts w:hint="eastAsia" w:eastAsia="宋体"/>
          <w:lang w:val="en-US" w:eastAsia="zh-CN"/>
        </w:rPr>
        <w:t xml:space="preserve"> on channel access procedure for NR-U. </w:t>
      </w:r>
      <w:r>
        <w:rPr>
          <w:rFonts w:eastAsia="宋体"/>
          <w:lang w:val="en-US" w:eastAsia="zh-CN"/>
        </w:rPr>
        <w:t>We have the following proposal</w:t>
      </w:r>
      <w:r>
        <w:rPr>
          <w:rFonts w:hint="eastAsia" w:eastAsia="宋体"/>
          <w:lang w:val="en-US" w:eastAsia="zh-CN"/>
        </w:rPr>
        <w:t>s and observation</w:t>
      </w:r>
      <w:r>
        <w:rPr>
          <w:rFonts w:eastAsia="宋体"/>
          <w:lang w:val="en-US" w:eastAsia="zh-CN"/>
        </w:rPr>
        <w:t>:</w:t>
      </w:r>
    </w:p>
    <w:p>
      <w:pPr>
        <w:spacing w:before="137" w:beforeLines="50" w:after="137" w:afterLines="50" w:line="240" w:lineRule="auto"/>
        <w:jc w:val="both"/>
        <w:rPr>
          <w:rFonts w:hint="default"/>
          <w:b/>
          <w:bCs/>
          <w:lang w:val="en-US" w:eastAsia="zh-CN"/>
        </w:rPr>
      </w:pPr>
      <w:r>
        <w:rPr>
          <w:rFonts w:hint="eastAsia"/>
          <w:b/>
          <w:bCs/>
          <w:lang w:val="en-US" w:eastAsia="zh-CN"/>
        </w:rPr>
        <w:t xml:space="preserve">Proposal 1: </w:t>
      </w:r>
      <w:r>
        <w:rPr>
          <w:rFonts w:hint="eastAsia"/>
          <w:b w:val="0"/>
          <w:bCs w:val="0"/>
          <w:i/>
          <w:iCs/>
          <w:lang w:val="en-US" w:eastAsia="zh-CN"/>
        </w:rPr>
        <w:t xml:space="preserve">From the respective of minimizing the impacts of specification and the fairness of coexistence, Alt 1 that Cat-2 LBT with 16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 xml:space="preserve">s consists of a duration Tsl = 9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 xml:space="preserve">s immediately followed by a slot duration Ti = 7 µs and Energy measurement is done in the Tsl = 9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 xml:space="preserve">s slot with the measurement including averaging for at least 4 us in any portion of the Tsl = 9 </w:t>
      </w:r>
      <w:r>
        <w:rPr>
          <w:rFonts w:hint="default" w:ascii="Times New Roman" w:hAnsi="Times New Roman" w:eastAsia="宋体" w:cs="Times New Roman"/>
          <w:b w:val="0"/>
          <w:bCs w:val="0"/>
          <w:i/>
          <w:iCs/>
          <w:vertAlign w:val="baseline"/>
          <w:lang w:val="en-US" w:eastAsia="zh-CN"/>
        </w:rPr>
        <w:t>µ</w:t>
      </w:r>
      <w:r>
        <w:rPr>
          <w:rFonts w:hint="eastAsia" w:eastAsia="宋体" w:cs="Times New Roman"/>
          <w:b w:val="0"/>
          <w:bCs w:val="0"/>
          <w:i/>
          <w:iCs/>
          <w:vertAlign w:val="baseline"/>
          <w:lang w:val="en-US" w:eastAsia="zh-CN"/>
        </w:rPr>
        <w:t>s slot should be supported.</w:t>
      </w:r>
    </w:p>
    <w:p>
      <w:pPr>
        <w:spacing w:before="137" w:beforeLines="50" w:after="137" w:afterLines="50" w:line="240" w:lineRule="auto"/>
        <w:jc w:val="both"/>
        <w:rPr>
          <w:rFonts w:hint="default"/>
          <w:b w:val="0"/>
          <w:bCs w:val="0"/>
          <w:i/>
          <w:iCs/>
          <w:lang w:val="en-US" w:eastAsia="zh-CN"/>
        </w:rPr>
      </w:pPr>
      <w:r>
        <w:rPr>
          <w:rFonts w:hint="eastAsia"/>
          <w:b/>
          <w:bCs/>
          <w:lang w:val="en-US" w:eastAsia="zh-CN"/>
        </w:rPr>
        <w:t xml:space="preserve">Proposal 2: </w:t>
      </w:r>
      <w:r>
        <w:rPr>
          <w:rFonts w:hint="eastAsia"/>
          <w:b w:val="0"/>
          <w:bCs w:val="0"/>
          <w:i/>
          <w:iCs/>
          <w:lang w:val="en-US" w:eastAsia="zh-CN"/>
        </w:rPr>
        <w:t>LBT type used by UE for UL transmission should be indicated by gNB.</w:t>
      </w:r>
    </w:p>
    <w:p>
      <w:pPr>
        <w:spacing w:before="137" w:beforeLines="50" w:after="137" w:afterLines="50"/>
        <w:jc w:val="both"/>
        <w:rPr>
          <w:rFonts w:hint="default"/>
          <w:highlight w:val="none"/>
          <w:lang w:val="en-US" w:eastAsia="zh-CN"/>
        </w:rPr>
      </w:pPr>
      <w:r>
        <w:rPr>
          <w:rFonts w:hint="eastAsia"/>
          <w:b/>
          <w:bCs/>
          <w:lang w:val="en-US" w:eastAsia="zh-CN"/>
        </w:rPr>
        <w:t xml:space="preserve">Proposal 3: </w:t>
      </w:r>
      <w:r>
        <w:rPr>
          <w:rFonts w:hint="eastAsia"/>
          <w:b w:val="0"/>
          <w:bCs w:val="0"/>
          <w:i/>
          <w:iCs/>
          <w:lang w:val="en-US" w:eastAsia="zh-CN"/>
        </w:rPr>
        <w:t xml:space="preserve">LBT priority is unnecessary to be indicated to UE when Cat-4 LBT is indicated for </w:t>
      </w:r>
      <w:r>
        <w:rPr>
          <w:rFonts w:hint="eastAsia"/>
          <w:i/>
          <w:iCs/>
          <w:highlight w:val="none"/>
          <w:lang w:val="en-US" w:eastAsia="zh-CN"/>
        </w:rPr>
        <w:t>SRS-only, RACH-only or PUCCH-only.</w:t>
      </w:r>
    </w:p>
    <w:p>
      <w:pPr>
        <w:numPr>
          <w:ilvl w:val="255"/>
          <w:numId w:val="0"/>
        </w:numPr>
        <w:adjustRightInd w:val="0"/>
        <w:spacing w:before="137" w:beforeLines="50" w:after="137" w:afterLines="50" w:line="240" w:lineRule="auto"/>
        <w:jc w:val="both"/>
        <w:rPr>
          <w:i/>
          <w:iCs/>
          <w:lang w:val="en-US" w:eastAsia="zh-CN"/>
        </w:rPr>
      </w:pPr>
      <w:r>
        <w:rPr>
          <w:rFonts w:hint="eastAsia"/>
          <w:b/>
          <w:bCs/>
          <w:lang w:val="en-US" w:eastAsia="zh-CN"/>
        </w:rPr>
        <w:t xml:space="preserve">Proposal 4: </w:t>
      </w:r>
      <w:r>
        <w:rPr>
          <w:i/>
          <w:iCs/>
          <w:lang w:val="en-US" w:eastAsia="zh-CN"/>
        </w:rPr>
        <w:t xml:space="preserve">If CBG based HARQ-ACK feedback is configured for NR-U, </w:t>
      </w:r>
      <w:r>
        <w:rPr>
          <w:rFonts w:hint="eastAsia"/>
          <w:i/>
          <w:iCs/>
          <w:lang w:val="en-US" w:eastAsia="zh-CN"/>
        </w:rPr>
        <w:t>ACK/</w:t>
      </w:r>
      <w:r>
        <w:rPr>
          <w:i/>
          <w:iCs/>
          <w:lang w:val="en-US" w:eastAsia="zh-CN"/>
        </w:rPr>
        <w:t>NACK ratio Z can be counted/determined by one of the following methods:</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Alt-1: CBG level ACK/NACK is co</w:t>
      </w:r>
      <w:r>
        <w:rPr>
          <w:rFonts w:eastAsia="宋体"/>
          <w:bCs/>
          <w:i/>
          <w:iCs/>
          <w:lang w:val="en-US" w:eastAsia="zh-CN"/>
        </w:rPr>
        <w:t>n</w:t>
      </w:r>
      <w:r>
        <w:rPr>
          <w:rFonts w:hint="eastAsia" w:eastAsia="宋体"/>
          <w:bCs/>
          <w:i/>
          <w:iCs/>
          <w:lang w:val="en-US" w:eastAsia="zh-CN"/>
        </w:rPr>
        <w:t>verted into TB level ACK/NACK. Wherein, the ACK/NACK ratio Z is of TB level.</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Alt-2: Redefinition ACK/NACK ratio Z in order to include TB level ACK/NACK and CBG level ACK/NACK.</w:t>
      </w:r>
    </w:p>
    <w:p>
      <w:pPr>
        <w:numPr>
          <w:ilvl w:val="255"/>
          <w:numId w:val="0"/>
        </w:numPr>
        <w:spacing w:before="137" w:beforeLines="50" w:after="137" w:afterLines="50" w:line="240" w:lineRule="auto"/>
        <w:jc w:val="both"/>
        <w:rPr>
          <w:rFonts w:hint="eastAsia"/>
          <w:i/>
          <w:iCs/>
          <w:lang w:val="en-US" w:eastAsia="zh-CN"/>
        </w:rPr>
      </w:pPr>
      <w:r>
        <w:rPr>
          <w:rFonts w:hint="eastAsia"/>
          <w:b/>
          <w:bCs/>
          <w:lang w:val="en-US" w:eastAsia="zh-CN"/>
        </w:rPr>
        <w:t xml:space="preserve">Proposal 5: </w:t>
      </w:r>
      <w:r>
        <w:rPr>
          <w:rFonts w:hint="eastAsia"/>
          <w:i/>
          <w:iCs/>
          <w:lang w:val="en-US" w:eastAsia="zh-CN"/>
        </w:rPr>
        <w:t>The reference slot for CWs adjustment should be defined as the first slot or the first and second slot of the latest DL/UL date burst for NR-U.</w:t>
      </w:r>
    </w:p>
    <w:p>
      <w:pPr>
        <w:spacing w:before="137" w:beforeLines="50" w:after="137" w:afterLines="50" w:line="240" w:lineRule="auto"/>
        <w:jc w:val="both"/>
        <w:rPr>
          <w:rFonts w:hint="eastAsia" w:eastAsia="宋体"/>
          <w:i/>
          <w:iCs/>
          <w:lang w:val="en-US" w:eastAsia="zh-CN"/>
        </w:rPr>
      </w:pPr>
      <w:r>
        <w:rPr>
          <w:rFonts w:hint="eastAsia"/>
          <w:b/>
          <w:bCs/>
          <w:lang w:val="en-US" w:eastAsia="zh-CN"/>
        </w:rPr>
        <w:t xml:space="preserve">Proposal 6: </w:t>
      </w:r>
      <w:r>
        <w:rPr>
          <w:rFonts w:hint="eastAsia"/>
          <w:i/>
          <w:iCs/>
          <w:lang w:val="en-US" w:eastAsia="zh-CN"/>
        </w:rPr>
        <w:t xml:space="preserve">For CWS adjustment for configured grant, </w:t>
      </w:r>
      <w:r>
        <w:rPr>
          <w:rFonts w:hint="eastAsia" w:eastAsia="宋体"/>
          <w:i/>
          <w:iCs/>
          <w:lang w:val="en-US" w:eastAsia="zh-CN"/>
        </w:rPr>
        <w:t>the CWS adjustment scheme specified in AUL of R14 eLAA can be used as a starting point for study.</w:t>
      </w:r>
    </w:p>
    <w:p>
      <w:pPr>
        <w:spacing w:before="137" w:beforeLines="50" w:after="137" w:afterLines="50"/>
        <w:jc w:val="both"/>
        <w:rPr>
          <w:rFonts w:hint="default"/>
          <w:lang w:val="en-US" w:eastAsia="zh-CN"/>
        </w:rPr>
      </w:pPr>
      <w:r>
        <w:rPr>
          <w:rFonts w:hint="eastAsia"/>
          <w:b/>
          <w:bCs/>
          <w:lang w:val="en-US" w:eastAsia="zh-CN"/>
        </w:rPr>
        <w:t xml:space="preserve">Proposal 7: </w:t>
      </w:r>
      <w:r>
        <w:rPr>
          <w:rFonts w:hint="eastAsia"/>
          <w:b w:val="0"/>
          <w:bCs w:val="0"/>
          <w:i/>
          <w:iCs/>
          <w:lang w:val="en-US" w:eastAsia="zh-CN"/>
        </w:rPr>
        <w:t xml:space="preserve">If CWs adjustment for PRACH is supported for NR-U, it is recommended that specific CWs adjustment rules should be further studied and discussed. </w:t>
      </w:r>
    </w:p>
    <w:p>
      <w:pPr>
        <w:spacing w:before="137" w:beforeLines="50" w:after="137" w:afterLines="50" w:line="240" w:lineRule="auto"/>
        <w:jc w:val="both"/>
        <w:rPr>
          <w:rFonts w:hint="default"/>
          <w:b w:val="0"/>
          <w:bCs w:val="0"/>
          <w:sz w:val="21"/>
          <w:szCs w:val="22"/>
          <w:lang w:val="en-US" w:eastAsia="zh-CN"/>
        </w:rPr>
      </w:pPr>
      <w:r>
        <w:rPr>
          <w:rFonts w:hint="eastAsia"/>
          <w:b/>
          <w:bCs/>
          <w:lang w:val="en-US" w:eastAsia="zh-CN"/>
        </w:rPr>
        <w:t xml:space="preserve">Proposal 8: </w:t>
      </w:r>
      <w:r>
        <w:rPr>
          <w:rFonts w:hint="eastAsia"/>
          <w:b w:val="0"/>
          <w:bCs w:val="0"/>
          <w:i/>
          <w:iCs/>
          <w:sz w:val="21"/>
          <w:szCs w:val="22"/>
          <w:lang w:val="en-US" w:eastAsia="zh-CN"/>
        </w:rPr>
        <w:t xml:space="preserve">The method of </w:t>
      </w:r>
      <w:r>
        <w:rPr>
          <w:rFonts w:hint="eastAsia"/>
          <w:i/>
          <w:iCs/>
          <w:sz w:val="21"/>
          <w:szCs w:val="22"/>
          <w:lang w:val="en-US" w:eastAsia="zh-CN"/>
        </w:rPr>
        <w:t>R</w:t>
      </w:r>
      <w:r>
        <w:rPr>
          <w:rFonts w:hint="eastAsia"/>
          <w:i/>
          <w:iCs/>
          <w:lang w:val="en-US" w:eastAsia="zh-CN"/>
        </w:rPr>
        <w:t xml:space="preserve">andomly selection the starting position of CCA in CCA time window (idle period) </w:t>
      </w:r>
      <w:r>
        <w:rPr>
          <w:i/>
          <w:iCs/>
          <w:lang w:val="en-US" w:eastAsia="zh-CN"/>
        </w:rPr>
        <w:t xml:space="preserve"> can be considered for FBE to solve unfairness problem caused by NR-U node timing difference and increase the opportunity of channel</w:t>
      </w:r>
      <w:r>
        <w:rPr>
          <w:rFonts w:hint="eastAsia"/>
          <w:i/>
          <w:iCs/>
          <w:lang w:val="en-US" w:eastAsia="zh-CN"/>
        </w:rPr>
        <w:t xml:space="preserve"> </w:t>
      </w:r>
      <w:r>
        <w:rPr>
          <w:i/>
          <w:iCs/>
          <w:lang w:val="en-US" w:eastAsia="zh-CN"/>
        </w:rPr>
        <w:t>acces</w:t>
      </w:r>
      <w:r>
        <w:rPr>
          <w:rFonts w:hint="eastAsia"/>
          <w:i/>
          <w:iCs/>
          <w:lang w:val="en-US" w:eastAsia="zh-CN"/>
        </w:rPr>
        <w:t xml:space="preserve">s for </w:t>
      </w:r>
      <w:r>
        <w:rPr>
          <w:i/>
          <w:iCs/>
          <w:lang w:val="en-US" w:eastAsia="zh-CN"/>
        </w:rPr>
        <w:t>NR-U nodes.</w:t>
      </w:r>
    </w:p>
    <w:p>
      <w:pPr>
        <w:spacing w:before="137" w:beforeLines="50" w:after="137" w:afterLines="50"/>
        <w:jc w:val="both"/>
        <w:rPr>
          <w:rFonts w:hint="default"/>
          <w:lang w:val="en-US" w:eastAsia="zh-CN"/>
        </w:rPr>
      </w:pPr>
      <w:r>
        <w:rPr>
          <w:rFonts w:hint="eastAsia"/>
          <w:b/>
          <w:bCs/>
          <w:lang w:val="en-US" w:eastAsia="zh-CN"/>
        </w:rPr>
        <w:t xml:space="preserve">Proposal 9: </w:t>
      </w:r>
      <w:r>
        <w:rPr>
          <w:rFonts w:hint="eastAsia"/>
          <w:b w:val="0"/>
          <w:bCs w:val="0"/>
          <w:i/>
          <w:iCs/>
          <w:lang w:val="en-US" w:eastAsia="zh-CN"/>
        </w:rPr>
        <w:t>UE initiated COT can be shared with gNB at least for DL data/control signal meant for the same UE. But it need to further be discussed and evaluated for UE initiated COT shared with other UEs considering that fair coexistence with Wi-Fi/nodes of same system.</w:t>
      </w:r>
    </w:p>
    <w:p>
      <w:pPr>
        <w:spacing w:before="137" w:beforeLines="50" w:after="137" w:afterLines="50"/>
        <w:jc w:val="both"/>
        <w:rPr>
          <w:rFonts w:hint="default"/>
          <w:i/>
          <w:iCs/>
          <w:highlight w:val="none"/>
          <w:lang w:val="en-US" w:eastAsia="zh-CN"/>
        </w:rPr>
      </w:pPr>
      <w:r>
        <w:rPr>
          <w:rFonts w:hint="eastAsia"/>
          <w:b/>
          <w:bCs/>
          <w:lang w:val="en-US" w:eastAsia="zh-CN"/>
        </w:rPr>
        <w:t xml:space="preserve">Observation 1: </w:t>
      </w:r>
      <w:r>
        <w:rPr>
          <w:rFonts w:hint="eastAsia"/>
          <w:b w:val="0"/>
          <w:bCs w:val="0"/>
          <w:i/>
          <w:iCs/>
          <w:lang w:val="en-US" w:eastAsia="zh-CN"/>
        </w:rPr>
        <w:t>Considering that no any restriction on maximum TX duration for Cat-1 LBT in ETSI specification,</w:t>
      </w:r>
      <w:r>
        <w:rPr>
          <w:rFonts w:hint="eastAsia"/>
          <w:b w:val="0"/>
          <w:bCs w:val="0"/>
          <w:i/>
          <w:iCs/>
          <w:highlight w:val="none"/>
          <w:lang w:val="en-US" w:eastAsia="zh-CN"/>
        </w:rPr>
        <w:t xml:space="preserve"> it is recommended that  the maximum TX duration for Cat-1 LBT should not be limited. </w:t>
      </w:r>
    </w:p>
    <w:p>
      <w:pPr>
        <w:spacing w:before="137" w:beforeLines="50" w:after="137" w:afterLines="50" w:line="240" w:lineRule="auto"/>
        <w:jc w:val="both"/>
        <w:rPr>
          <w:i/>
          <w:iCs/>
          <w:lang w:val="en-US" w:eastAsia="zh-CN"/>
        </w:rPr>
      </w:pPr>
      <w:r>
        <w:rPr>
          <w:rFonts w:hint="eastAsia"/>
          <w:b/>
          <w:bCs/>
          <w:lang w:val="en-US" w:eastAsia="zh-CN"/>
        </w:rPr>
        <w:t xml:space="preserve">Proposal 10: </w:t>
      </w:r>
      <w:r>
        <w:rPr>
          <w:rFonts w:hint="eastAsia"/>
          <w:i/>
          <w:iCs/>
          <w:lang w:val="en-US" w:eastAsia="zh-CN"/>
        </w:rPr>
        <w:t>Cat</w:t>
      </w:r>
      <w:r>
        <w:rPr>
          <w:i/>
          <w:iCs/>
          <w:lang w:val="en-US" w:eastAsia="zh-CN"/>
        </w:rPr>
        <w:t>-</w:t>
      </w:r>
      <w:r>
        <w:rPr>
          <w:rFonts w:hint="eastAsia"/>
          <w:i/>
          <w:iCs/>
          <w:lang w:val="en-US" w:eastAsia="zh-CN"/>
        </w:rPr>
        <w:t>4 LBT can be used for the following cases:</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Before the DRS multiplexed with unicast date are transmitted</w:t>
      </w:r>
      <w:r>
        <w:rPr>
          <w:rFonts w:eastAsia="宋体"/>
          <w:bCs/>
          <w:i/>
          <w:iCs/>
          <w:lang w:val="en-US" w:eastAsia="zh-CN"/>
        </w:rPr>
        <w:t xml:space="preserve"> </w:t>
      </w:r>
      <w:r>
        <w:rPr>
          <w:rFonts w:hint="eastAsia" w:eastAsia="宋体"/>
          <w:bCs/>
          <w:i/>
          <w:iCs/>
          <w:lang w:val="en-US" w:eastAsia="zh-CN"/>
        </w:rPr>
        <w:t>(</w:t>
      </w:r>
      <w:r>
        <w:rPr>
          <w:rFonts w:eastAsia="宋体"/>
          <w:bCs/>
          <w:i/>
          <w:iCs/>
          <w:lang w:val="en-US" w:eastAsia="zh-CN"/>
        </w:rPr>
        <w:t>a</w:t>
      </w:r>
      <w:r>
        <w:rPr>
          <w:rFonts w:hint="eastAsia" w:eastAsia="宋体"/>
          <w:bCs/>
          <w:i/>
          <w:iCs/>
          <w:lang w:val="en-US" w:eastAsia="zh-CN"/>
        </w:rPr>
        <w:t>greed in RAN1#96).</w:t>
      </w:r>
    </w:p>
    <w:p>
      <w:pPr>
        <w:numPr>
          <w:ilvl w:val="0"/>
          <w:numId w:val="12"/>
        </w:numPr>
        <w:spacing w:before="137" w:beforeLines="50" w:after="137" w:afterLines="50" w:line="240" w:lineRule="auto"/>
        <w:ind w:left="1260"/>
        <w:jc w:val="both"/>
        <w:rPr>
          <w:rFonts w:eastAsia="宋体"/>
          <w:bCs/>
          <w:i/>
          <w:iCs/>
          <w:lang w:val="en-US" w:eastAsia="zh-CN"/>
        </w:rPr>
      </w:pPr>
      <w:r>
        <w:rPr>
          <w:rFonts w:hint="eastAsia" w:eastAsia="宋体"/>
          <w:bCs/>
          <w:i/>
          <w:iCs/>
          <w:lang w:val="en-US" w:eastAsia="zh-CN"/>
        </w:rPr>
        <w:t>Before DRS burst set starts transmission and DRS burst set duration is larger than 1</w:t>
      </w:r>
      <w:r>
        <w:rPr>
          <w:rFonts w:eastAsia="宋体"/>
          <w:bCs/>
          <w:i/>
          <w:iCs/>
          <w:lang w:val="en-US" w:eastAsia="zh-CN"/>
        </w:rPr>
        <w:t xml:space="preserve"> </w:t>
      </w:r>
      <w:r>
        <w:rPr>
          <w:rFonts w:hint="eastAsia" w:eastAsia="宋体"/>
          <w:bCs/>
          <w:i/>
          <w:iCs/>
          <w:lang w:val="en-US" w:eastAsia="zh-CN"/>
        </w:rPr>
        <w:t>ms or the total duty cycle of DRS transmission in DRS burst set period is larger than 1/20.</w:t>
      </w:r>
    </w:p>
    <w:p>
      <w:pPr>
        <w:spacing w:before="137" w:beforeLines="50" w:after="137" w:afterLines="50" w:line="240" w:lineRule="auto"/>
        <w:jc w:val="both"/>
        <w:rPr>
          <w:i/>
          <w:iCs/>
          <w:lang w:val="en-US" w:eastAsia="zh-CN"/>
        </w:rPr>
      </w:pPr>
      <w:r>
        <w:rPr>
          <w:rFonts w:hint="eastAsia"/>
          <w:b/>
          <w:bCs/>
          <w:lang w:val="en-US" w:eastAsia="zh-CN"/>
        </w:rPr>
        <w:t xml:space="preserve">Proposal 11: </w:t>
      </w:r>
      <w:r>
        <w:rPr>
          <w:rFonts w:hint="eastAsia"/>
          <w:i/>
          <w:iCs/>
          <w:lang w:val="en-US" w:eastAsia="zh-CN"/>
        </w:rPr>
        <w:t>Cat</w:t>
      </w:r>
      <w:r>
        <w:rPr>
          <w:i/>
          <w:iCs/>
          <w:lang w:val="en-US" w:eastAsia="zh-CN"/>
        </w:rPr>
        <w:t>-</w:t>
      </w:r>
      <w:r>
        <w:rPr>
          <w:rFonts w:hint="eastAsia"/>
          <w:i/>
          <w:iCs/>
          <w:lang w:val="en-US" w:eastAsia="zh-CN"/>
        </w:rPr>
        <w:t>2 LBT can be considered to be used in the following situations:</w:t>
      </w:r>
    </w:p>
    <w:p>
      <w:pPr>
        <w:numPr>
          <w:ilvl w:val="0"/>
          <w:numId w:val="12"/>
        </w:numPr>
        <w:spacing w:before="137" w:beforeLines="50" w:after="137" w:afterLines="50" w:line="240" w:lineRule="auto"/>
        <w:ind w:left="1260" w:hanging="420"/>
        <w:jc w:val="both"/>
        <w:rPr>
          <w:rFonts w:eastAsia="宋体"/>
          <w:bCs/>
          <w:i/>
          <w:iCs/>
          <w:lang w:val="en-US" w:eastAsia="zh-CN"/>
        </w:rPr>
      </w:pPr>
      <w:r>
        <w:rPr>
          <w:rFonts w:hint="eastAsia" w:eastAsia="宋体"/>
          <w:bCs/>
          <w:i/>
          <w:iCs/>
          <w:lang w:val="en-US" w:eastAsia="zh-CN"/>
        </w:rPr>
        <w:t>Case 1: Within DRS burst set, if there is an empty symbol/gap between DRS bursts</w:t>
      </w:r>
      <w:r>
        <w:rPr>
          <w:rFonts w:eastAsia="宋体"/>
          <w:bCs/>
          <w:i/>
          <w:iCs/>
          <w:lang w:val="en-US" w:eastAsia="zh-CN"/>
        </w:rPr>
        <w:t xml:space="preserve"> </w:t>
      </w:r>
      <w:r>
        <w:rPr>
          <w:rFonts w:hint="eastAsia" w:eastAsia="宋体"/>
          <w:bCs/>
          <w:i/>
          <w:iCs/>
          <w:lang w:val="en-US" w:eastAsia="zh-CN"/>
        </w:rPr>
        <w:t>(half-slot),.</w:t>
      </w:r>
    </w:p>
    <w:p>
      <w:pPr>
        <w:numPr>
          <w:ilvl w:val="0"/>
          <w:numId w:val="12"/>
        </w:numPr>
        <w:spacing w:before="137" w:beforeLines="50" w:after="137" w:afterLines="50" w:line="240" w:lineRule="auto"/>
        <w:ind w:left="1260" w:hanging="420"/>
        <w:jc w:val="both"/>
        <w:rPr>
          <w:rFonts w:eastAsia="宋体"/>
          <w:bCs/>
          <w:i/>
          <w:iCs/>
          <w:lang w:val="en-US" w:eastAsia="zh-CN"/>
        </w:rPr>
      </w:pPr>
      <w:r>
        <w:rPr>
          <w:rFonts w:hint="eastAsia" w:eastAsia="宋体"/>
          <w:bCs/>
          <w:i/>
          <w:iCs/>
          <w:lang w:val="en-US" w:eastAsia="zh-CN"/>
        </w:rPr>
        <w:t>Case 2: Within DRS transmission window, if a new DRS burst set is initiated by gNB and its duration is smaller than or equal to 1ms and the total duty cycle of DRS transmission in a DRS burst set period is not larger than 1/20, or if gNB uses Cat4 LBT to detect channel busy all the time and only a few SSB candidate positions (e.g., 2 SSBs) remain before the ending of DRS transmission window.</w:t>
      </w:r>
    </w:p>
    <w:p>
      <w:pPr>
        <w:numPr>
          <w:ilvl w:val="0"/>
          <w:numId w:val="12"/>
        </w:numPr>
        <w:spacing w:before="137" w:beforeLines="50" w:after="137" w:afterLines="50" w:line="240" w:lineRule="auto"/>
        <w:ind w:left="1260" w:hanging="420"/>
        <w:jc w:val="both"/>
        <w:rPr>
          <w:rFonts w:eastAsia="宋体"/>
          <w:bCs/>
          <w:i/>
          <w:iCs/>
          <w:lang w:val="en-US" w:eastAsia="zh-CN"/>
        </w:rPr>
      </w:pPr>
      <w:r>
        <w:rPr>
          <w:rFonts w:hint="eastAsia" w:eastAsia="宋体"/>
          <w:bCs/>
          <w:i/>
          <w:iCs/>
          <w:lang w:val="en-US" w:eastAsia="zh-CN"/>
        </w:rPr>
        <w:t>Case 3: Before DRS burst set that only occupies 1</w:t>
      </w:r>
      <w:r>
        <w:rPr>
          <w:rFonts w:eastAsia="宋体"/>
          <w:bCs/>
          <w:i/>
          <w:iCs/>
          <w:lang w:val="en-US" w:eastAsia="zh-CN"/>
        </w:rPr>
        <w:t xml:space="preserve"> </w:t>
      </w:r>
      <w:r>
        <w:rPr>
          <w:rFonts w:hint="eastAsia" w:eastAsia="宋体"/>
          <w:bCs/>
          <w:i/>
          <w:iCs/>
          <w:lang w:val="en-US" w:eastAsia="zh-CN"/>
        </w:rPr>
        <w:t>ms channel time, which is similar to LTE-LAA DRS.</w:t>
      </w:r>
    </w:p>
    <w:p>
      <w:pPr>
        <w:numPr>
          <w:ilvl w:val="0"/>
          <w:numId w:val="12"/>
        </w:numPr>
        <w:spacing w:before="137" w:beforeLines="50" w:after="137" w:afterLines="50" w:line="240" w:lineRule="auto"/>
        <w:ind w:left="1260" w:hanging="420"/>
        <w:jc w:val="both"/>
        <w:rPr>
          <w:rFonts w:eastAsia="宋体"/>
          <w:bCs/>
          <w:i/>
          <w:iCs/>
          <w:lang w:val="en-US" w:eastAsia="zh-CN"/>
        </w:rPr>
      </w:pPr>
      <w:r>
        <w:rPr>
          <w:rFonts w:hint="eastAsia" w:eastAsia="宋体"/>
          <w:bCs/>
          <w:i/>
          <w:iCs/>
          <w:lang w:val="en-US" w:eastAsia="zh-CN"/>
        </w:rPr>
        <w:t>Case 4: If the adjacent two SSBs</w:t>
      </w:r>
      <w:r>
        <w:rPr>
          <w:rFonts w:eastAsia="宋体"/>
          <w:bCs/>
          <w:i/>
          <w:iCs/>
          <w:lang w:val="en-US" w:eastAsia="zh-CN"/>
        </w:rPr>
        <w:t xml:space="preserve"> </w:t>
      </w:r>
      <w:r>
        <w:rPr>
          <w:rFonts w:hint="eastAsia" w:eastAsia="宋体"/>
          <w:bCs/>
          <w:i/>
          <w:iCs/>
          <w:lang w:val="en-US" w:eastAsia="zh-CN"/>
        </w:rPr>
        <w:t>(DRS bursts</w:t>
      </w:r>
      <w:r>
        <w:rPr>
          <w:rFonts w:eastAsia="宋体"/>
          <w:bCs/>
          <w:i/>
          <w:iCs/>
          <w:lang w:val="en-US" w:eastAsia="zh-CN"/>
        </w:rPr>
        <w:t xml:space="preserve"> </w:t>
      </w:r>
      <w:r>
        <w:rPr>
          <w:rFonts w:hint="eastAsia" w:eastAsia="宋体"/>
          <w:bCs/>
          <w:i/>
          <w:iCs/>
          <w:lang w:val="en-US" w:eastAsia="zh-CN"/>
        </w:rPr>
        <w:t>(half-slot)) within DRS burst set is non-QCL’d relationship and there is a gap between non-QCL’d SSB.</w:t>
      </w:r>
    </w:p>
    <w:p>
      <w:pPr>
        <w:numPr>
          <w:ilvl w:val="0"/>
          <w:numId w:val="13"/>
        </w:numPr>
        <w:spacing w:before="137" w:beforeLines="50" w:after="137" w:afterLines="50" w:line="240" w:lineRule="auto"/>
        <w:ind w:left="1680" w:hanging="420"/>
        <w:jc w:val="both"/>
        <w:rPr>
          <w:rFonts w:eastAsia="宋体"/>
          <w:bCs/>
          <w:i/>
          <w:iCs/>
          <w:lang w:val="en-US" w:eastAsia="zh-CN"/>
        </w:rPr>
      </w:pPr>
      <w:r>
        <w:rPr>
          <w:rFonts w:hint="eastAsia" w:eastAsia="宋体"/>
          <w:bCs/>
          <w:i/>
          <w:iCs/>
          <w:lang w:val="en-US" w:eastAsia="zh-CN"/>
        </w:rPr>
        <w:t>Preferably, directional LBT can be performed for beam-based SSB transmission within DRS burst.</w:t>
      </w:r>
    </w:p>
    <w:p>
      <w:pPr>
        <w:numPr>
          <w:ilvl w:val="0"/>
          <w:numId w:val="12"/>
        </w:numPr>
        <w:spacing w:before="137" w:beforeLines="50" w:after="137" w:afterLines="50" w:line="240" w:lineRule="auto"/>
        <w:ind w:left="1260" w:hanging="420"/>
        <w:jc w:val="both"/>
        <w:rPr>
          <w:i/>
          <w:iCs/>
          <w:lang w:val="en-US" w:eastAsia="zh-CN"/>
        </w:rPr>
      </w:pPr>
      <w:r>
        <w:rPr>
          <w:rFonts w:hint="eastAsia" w:eastAsia="宋体"/>
          <w:bCs/>
          <w:i/>
          <w:iCs/>
          <w:lang w:val="en-US" w:eastAsia="zh-CN"/>
        </w:rPr>
        <w:t>Case 5: for case where multiple sub-band case in the wideband operation or multiple carriers/BWPs case.</w:t>
      </w:r>
    </w:p>
    <w:p>
      <w:pPr>
        <w:numPr>
          <w:ilvl w:val="-1"/>
          <w:numId w:val="0"/>
        </w:numPr>
        <w:spacing w:before="137" w:beforeLines="50" w:after="137" w:afterLines="50" w:line="259" w:lineRule="auto"/>
        <w:ind w:left="0" w:firstLine="0"/>
        <w:jc w:val="left"/>
        <w:rPr>
          <w:rFonts w:hint="default"/>
          <w:i/>
          <w:iCs/>
          <w:lang w:val="en-US" w:eastAsia="zh-CN"/>
        </w:rPr>
      </w:pPr>
      <w:r>
        <w:rPr>
          <w:rFonts w:hint="eastAsia"/>
          <w:b/>
          <w:bCs/>
          <w:lang w:val="en-US" w:eastAsia="zh-CN"/>
        </w:rPr>
        <w:t xml:space="preserve">Proposal 12: </w:t>
      </w:r>
      <w:r>
        <w:rPr>
          <w:rFonts w:hint="eastAsia"/>
          <w:b w:val="0"/>
          <w:bCs w:val="0"/>
          <w:i/>
          <w:iCs/>
          <w:lang w:val="en-US" w:eastAsia="zh-CN"/>
        </w:rPr>
        <w:t xml:space="preserve">Considering that DRS transmission opportunities and application scenarios(e.g., Standalone Scenario), it is recommended that </w:t>
      </w:r>
      <w:r>
        <w:rPr>
          <w:rFonts w:hint="eastAsia"/>
          <w:i/>
          <w:iCs/>
          <w:lang w:val="en-US" w:eastAsia="zh-CN"/>
        </w:rPr>
        <w:t>Cat-2 LBT can be attempted on each candidate SSB position within a 5ms DRS transmission window.</w:t>
      </w:r>
    </w:p>
    <w:p>
      <w:pPr>
        <w:pStyle w:val="124"/>
        <w:spacing w:before="137" w:beforeLines="50" w:after="137" w:afterLines="50" w:line="240" w:lineRule="auto"/>
        <w:ind w:left="0"/>
        <w:rPr>
          <w:rFonts w:hint="eastAsia"/>
          <w:lang w:val="en-US" w:eastAsia="zh-CN"/>
        </w:rPr>
      </w:pPr>
      <w:r>
        <w:rPr>
          <w:rFonts w:hint="eastAsia"/>
          <w:b/>
          <w:bCs/>
          <w:lang w:val="en-US" w:eastAsia="zh-CN"/>
        </w:rPr>
        <w:t>Proposal 13:</w:t>
      </w:r>
      <w:r>
        <w:rPr>
          <w:rFonts w:hint="eastAsia"/>
          <w:lang w:val="en-US" w:eastAsia="zh-CN"/>
        </w:rPr>
        <w:t xml:space="preserve"> </w:t>
      </w:r>
      <w:r>
        <w:rPr>
          <w:rFonts w:hint="eastAsia"/>
          <w:i/>
          <w:iCs/>
          <w:lang w:val="en-US" w:eastAsia="zh-CN"/>
        </w:rPr>
        <w:t>LBT of LTE-LAA multiple CCs (e.g., Type A/B) manner can be used as starting point for research LBT for multiple carriers.</w:t>
      </w:r>
    </w:p>
    <w:p>
      <w:pPr>
        <w:tabs>
          <w:tab w:val="left" w:pos="450"/>
          <w:tab w:val="left" w:pos="720"/>
        </w:tabs>
        <w:spacing w:before="137" w:beforeLines="50" w:after="137" w:afterLines="50" w:line="240" w:lineRule="auto"/>
        <w:jc w:val="both"/>
        <w:rPr>
          <w:lang w:val="en-US" w:eastAsia="zh-CN"/>
        </w:rPr>
      </w:pPr>
      <w:r>
        <w:rPr>
          <w:rFonts w:hint="eastAsia"/>
          <w:b/>
          <w:bCs/>
          <w:lang w:val="en-US" w:eastAsia="zh-CN"/>
        </w:rPr>
        <w:t>Proposal 14:</w:t>
      </w:r>
      <w:r>
        <w:rPr>
          <w:rFonts w:hint="eastAsia"/>
          <w:i/>
          <w:iCs/>
          <w:lang w:val="en-US" w:eastAsia="zh-CN"/>
        </w:rPr>
        <w:t xml:space="preserve"> Directional LBT should at least be supported for beam-based SS/PBCH block transmission in order to avoid inaccurate CCA detection problems. </w:t>
      </w:r>
    </w:p>
    <w:p>
      <w:pPr>
        <w:spacing w:before="137" w:beforeLines="50" w:after="137" w:afterLines="50"/>
        <w:rPr>
          <w:i/>
          <w:iCs/>
          <w:lang w:val="en-US" w:eastAsia="zh-CN"/>
        </w:rPr>
      </w:pPr>
      <w:r>
        <w:rPr>
          <w:rFonts w:hint="eastAsia"/>
          <w:b/>
          <w:bCs/>
          <w:lang w:val="en-US" w:eastAsia="zh-CN"/>
        </w:rPr>
        <w:t>Proposal 15:</w:t>
      </w:r>
      <w:r>
        <w:rPr>
          <w:rFonts w:hint="eastAsia"/>
          <w:i/>
          <w:iCs/>
          <w:lang w:val="en-US" w:eastAsia="zh-CN"/>
        </w:rPr>
        <w:t xml:space="preserve"> Directional LBT </w:t>
      </w:r>
      <w:r>
        <w:rPr>
          <w:i/>
          <w:iCs/>
          <w:lang w:val="en-US" w:eastAsia="zh-CN"/>
        </w:rPr>
        <w:t>mechanism</w:t>
      </w:r>
      <w:r>
        <w:rPr>
          <w:rFonts w:hint="eastAsia"/>
          <w:i/>
          <w:iCs/>
          <w:lang w:val="en-US" w:eastAsia="zh-CN"/>
        </w:rPr>
        <w:t xml:space="preserve"> should be studied to improve the probability of successful channel access and the accuracy of CCA detection, e.g., enhance</w:t>
      </w:r>
      <w:r>
        <w:rPr>
          <w:i/>
          <w:iCs/>
          <w:lang w:val="en-US" w:eastAsia="zh-CN"/>
        </w:rPr>
        <w:t>d</w:t>
      </w:r>
      <w:r>
        <w:rPr>
          <w:rFonts w:hint="eastAsia"/>
          <w:i/>
          <w:iCs/>
          <w:lang w:val="en-US" w:eastAsia="zh-CN"/>
        </w:rPr>
        <w:t xml:space="preserve"> calculation method of observed interference in the beam range, CCA detection threshold for directional transmission.</w:t>
      </w:r>
      <w:r>
        <w:rPr>
          <w:rFonts w:hint="eastAsia" w:ascii="Times New Roman" w:hAnsi="Times New Roman"/>
          <w:b/>
          <w:bCs w:val="0"/>
          <w:sz w:val="24"/>
          <w:szCs w:val="24"/>
          <w:lang w:val="en-US" w:eastAsia="zh-CN"/>
        </w:rPr>
        <w:t xml:space="preserve"> </w:t>
      </w:r>
    </w:p>
    <w:p>
      <w:pPr>
        <w:spacing w:before="137" w:beforeLines="50" w:after="137" w:afterLines="50" w:line="240" w:lineRule="auto"/>
        <w:jc w:val="both"/>
        <w:rPr>
          <w:i/>
          <w:iCs/>
          <w:lang w:val="en-US" w:eastAsia="zh-CN"/>
        </w:rPr>
      </w:pPr>
      <w:r>
        <w:rPr>
          <w:rFonts w:hint="eastAsia"/>
          <w:b/>
          <w:bCs/>
          <w:lang w:val="en-US" w:eastAsia="zh-CN"/>
        </w:rPr>
        <w:t xml:space="preserve">Proposal 16: </w:t>
      </w:r>
      <w:r>
        <w:rPr>
          <w:i/>
          <w:iCs/>
          <w:lang w:val="en-US" w:eastAsia="zh-CN"/>
        </w:rPr>
        <w:t>F</w:t>
      </w:r>
      <w:r>
        <w:rPr>
          <w:rFonts w:hint="eastAsia"/>
          <w:i/>
          <w:iCs/>
          <w:lang w:val="en-US" w:eastAsia="zh-CN"/>
        </w:rPr>
        <w:t>requency</w:t>
      </w:r>
      <w:r>
        <w:rPr>
          <w:i/>
          <w:iCs/>
          <w:lang w:val="en-US" w:eastAsia="zh-CN"/>
        </w:rPr>
        <w:t xml:space="preserve"> </w:t>
      </w:r>
      <w:r>
        <w:rPr>
          <w:rFonts w:hint="eastAsia"/>
          <w:i/>
          <w:iCs/>
          <w:lang w:val="en-US" w:eastAsia="zh-CN"/>
        </w:rPr>
        <w:t xml:space="preserve">reuse/multiplexing </w:t>
      </w:r>
      <w:r>
        <w:rPr>
          <w:rFonts w:hint="eastAsia" w:eastAsia="宋体"/>
          <w:i/>
          <w:iCs/>
          <w:lang w:val="en-US" w:eastAsia="zh-CN"/>
        </w:rPr>
        <w:t xml:space="preserve">should </w:t>
      </w:r>
      <w:r>
        <w:rPr>
          <w:rFonts w:hint="eastAsia"/>
          <w:i/>
          <w:iCs/>
          <w:lang w:val="en-US" w:eastAsia="zh-CN"/>
        </w:rPr>
        <w:t xml:space="preserve">be supported in NR-U and some methods </w:t>
      </w:r>
      <w:r>
        <w:rPr>
          <w:i/>
          <w:iCs/>
          <w:lang w:val="en-US" w:eastAsia="zh-CN"/>
        </w:rPr>
        <w:t>of</w:t>
      </w:r>
      <w:r>
        <w:rPr>
          <w:rFonts w:hint="eastAsia"/>
          <w:i/>
          <w:iCs/>
          <w:lang w:val="en-US" w:eastAsia="zh-CN"/>
        </w:rPr>
        <w:t xml:space="preserve"> frequency reuse/multiplexing can be considered such as PRB based interlace structure of blank pattern method.</w:t>
      </w:r>
    </w:p>
    <w:p>
      <w:pPr>
        <w:spacing w:before="137" w:beforeLines="50" w:after="137" w:afterLines="50" w:line="240" w:lineRule="auto"/>
        <w:jc w:val="both"/>
        <w:rPr>
          <w:i/>
          <w:iCs/>
          <w:lang w:val="en-US" w:eastAsia="zh-CN"/>
        </w:rPr>
      </w:pPr>
      <w:r>
        <w:rPr>
          <w:rFonts w:hint="eastAsia"/>
          <w:b/>
          <w:bCs/>
          <w:lang w:val="en-US" w:eastAsia="zh-CN"/>
        </w:rPr>
        <w:t xml:space="preserve">Proposal 17: </w:t>
      </w:r>
      <w:r>
        <w:rPr>
          <w:rFonts w:hint="eastAsia"/>
          <w:i/>
          <w:iCs/>
          <w:lang w:val="en-US" w:eastAsia="zh-CN"/>
        </w:rPr>
        <w:t>For blank pattern scheme, RAN1 can send a</w:t>
      </w:r>
      <w:r>
        <w:rPr>
          <w:i/>
          <w:iCs/>
          <w:lang w:val="en-US" w:eastAsia="zh-CN"/>
        </w:rPr>
        <w:t>n</w:t>
      </w:r>
      <w:r>
        <w:rPr>
          <w:rFonts w:hint="eastAsia"/>
          <w:i/>
          <w:iCs/>
          <w:lang w:val="en-US" w:eastAsia="zh-CN"/>
        </w:rPr>
        <w:t xml:space="preserve"> LS to RAN4 in order to evaluate the feasibility of this scheme.</w:t>
      </w:r>
    </w:p>
    <w:p>
      <w:pPr>
        <w:spacing w:before="137" w:beforeLines="50" w:after="137" w:afterLines="50" w:line="240" w:lineRule="auto"/>
        <w:jc w:val="both"/>
        <w:rPr>
          <w:lang w:val="en-US" w:eastAsia="zh-CN"/>
        </w:rPr>
      </w:pPr>
      <w:r>
        <w:rPr>
          <w:rFonts w:hint="eastAsia"/>
          <w:b/>
          <w:bCs/>
          <w:lang w:val="en-US" w:eastAsia="zh-CN"/>
        </w:rPr>
        <w:t>Proposal 18:</w:t>
      </w:r>
      <w:r>
        <w:rPr>
          <w:rFonts w:hint="eastAsia"/>
          <w:i/>
          <w:iCs/>
          <w:lang w:val="en-US" w:eastAsia="zh-CN"/>
        </w:rPr>
        <w:t xml:space="preserve"> Multiplexing/Frequency reuse with blank pattern schemes can achieve performance improvement compared to no-multiplexing/Frequency reuse the gain increases with the increase of traffic load.</w:t>
      </w:r>
      <w:r>
        <w:rPr>
          <w:rFonts w:hint="eastAsia" w:ascii="Times New Roman" w:hAnsi="Times New Roman"/>
          <w:b/>
          <w:bCs w:val="0"/>
          <w:sz w:val="24"/>
          <w:szCs w:val="24"/>
          <w:lang w:val="en-US" w:eastAsia="zh-CN"/>
        </w:rPr>
        <w:t xml:space="preserve">  </w:t>
      </w:r>
      <w:r>
        <w:rPr>
          <w:rFonts w:hint="eastAsia"/>
          <w:i/>
          <w:iCs/>
          <w:lang w:val="en-US" w:eastAsia="zh-CN"/>
        </w:rPr>
        <w:t xml:space="preserve"> </w:t>
      </w:r>
    </w:p>
    <w:p>
      <w:pPr>
        <w:numPr>
          <w:ilvl w:val="255"/>
          <w:numId w:val="0"/>
        </w:numPr>
        <w:tabs>
          <w:tab w:val="left" w:pos="450"/>
          <w:tab w:val="left" w:pos="720"/>
        </w:tabs>
        <w:spacing w:before="137" w:beforeLines="50" w:after="137" w:afterLines="50" w:line="240" w:lineRule="auto"/>
        <w:jc w:val="both"/>
        <w:rPr>
          <w:rFonts w:hint="default"/>
          <w:b/>
          <w:bCs/>
          <w:lang w:val="en-US" w:eastAsia="zh-CN"/>
        </w:rPr>
      </w:pPr>
      <w:r>
        <w:rPr>
          <w:rFonts w:hint="eastAsia"/>
          <w:b/>
          <w:bCs/>
          <w:lang w:val="en-US" w:eastAsia="zh-CN"/>
        </w:rPr>
        <w:t xml:space="preserve">Proposal 19: </w:t>
      </w:r>
      <w:r>
        <w:rPr>
          <w:rFonts w:hint="eastAsia"/>
          <w:i/>
          <w:iCs/>
          <w:lang w:val="en-US" w:eastAsia="zh-CN"/>
        </w:rPr>
        <w:t xml:space="preserve">For directional LBT manner, some receiver assistance </w:t>
      </w:r>
      <w:r>
        <w:rPr>
          <w:i/>
          <w:iCs/>
          <w:lang w:val="en-US" w:eastAsia="zh-CN"/>
        </w:rPr>
        <w:t>methods</w:t>
      </w:r>
      <w:r>
        <w:rPr>
          <w:rFonts w:hint="eastAsia"/>
          <w:i/>
          <w:iCs/>
          <w:lang w:val="en-US" w:eastAsia="zh-CN"/>
        </w:rPr>
        <w:t xml:space="preserve"> (e.g., the receiver performs a directional LBT and sends out a short indication signal) should be </w:t>
      </w:r>
      <w:r>
        <w:rPr>
          <w:i/>
          <w:iCs/>
          <w:lang w:val="en-US" w:eastAsia="zh-CN"/>
        </w:rPr>
        <w:t>supported</w:t>
      </w:r>
      <w:r>
        <w:rPr>
          <w:rFonts w:hint="eastAsia"/>
          <w:i/>
          <w:iCs/>
          <w:lang w:val="en-US" w:eastAsia="zh-CN"/>
        </w:rPr>
        <w:t xml:space="preserve"> to help mitigation </w:t>
      </w:r>
      <w:r>
        <w:rPr>
          <w:i/>
          <w:iCs/>
          <w:lang w:val="en-US" w:eastAsia="zh-CN"/>
        </w:rPr>
        <w:t xml:space="preserve">of </w:t>
      </w:r>
      <w:r>
        <w:rPr>
          <w:rFonts w:hint="eastAsia"/>
          <w:i/>
          <w:iCs/>
          <w:lang w:val="en-US" w:eastAsia="zh-CN"/>
        </w:rPr>
        <w:t>potential hidden node issue.</w:t>
      </w:r>
    </w:p>
    <w:p>
      <w:pPr>
        <w:pStyle w:val="2"/>
        <w:spacing w:before="120" w:after="120" w:line="240" w:lineRule="auto"/>
        <w:jc w:val="both"/>
        <w:rPr>
          <w:rFonts w:ascii="Times New Roman" w:hAnsi="Times New Roman" w:eastAsia="宋体"/>
          <w:b/>
          <w:sz w:val="32"/>
          <w:szCs w:val="32"/>
          <w:lang w:val="en-US" w:eastAsia="zh-CN"/>
        </w:rPr>
      </w:pPr>
      <w:r>
        <w:rPr>
          <w:rFonts w:hint="eastAsia" w:ascii="Times New Roman" w:hAnsi="Times New Roman" w:eastAsia="宋体"/>
          <w:b/>
          <w:sz w:val="32"/>
          <w:szCs w:val="32"/>
          <w:lang w:val="en-US" w:eastAsia="zh-CN"/>
        </w:rPr>
        <w:t xml:space="preserve"> </w:t>
      </w:r>
      <w:r>
        <w:rPr>
          <w:rFonts w:ascii="Times New Roman" w:hAnsi="Times New Roman" w:eastAsia="宋体"/>
          <w:b/>
          <w:sz w:val="32"/>
          <w:szCs w:val="32"/>
          <w:lang w:val="en-US" w:eastAsia="zh-CN"/>
        </w:rPr>
        <w:t xml:space="preserve">Reference </w:t>
      </w:r>
    </w:p>
    <w:p>
      <w:pPr>
        <w:widowControl w:val="0"/>
        <w:numPr>
          <w:ilvl w:val="0"/>
          <w:numId w:val="15"/>
        </w:numPr>
        <w:autoSpaceDE w:val="0"/>
        <w:autoSpaceDN w:val="0"/>
        <w:adjustRightInd w:val="0"/>
        <w:spacing w:before="60" w:after="60" w:line="240" w:lineRule="auto"/>
        <w:jc w:val="both"/>
        <w:rPr>
          <w:rFonts w:eastAsia="宋体"/>
          <w:lang w:val="en-US" w:eastAsia="zh-CN"/>
        </w:rPr>
      </w:pPr>
      <w:r>
        <w:rPr>
          <w:rFonts w:eastAsia="宋体"/>
          <w:lang w:val="en-US" w:eastAsia="zh-CN"/>
        </w:rPr>
        <w:t xml:space="preserve">3GPP, </w:t>
      </w:r>
      <w:r>
        <w:rPr>
          <w:rFonts w:hint="eastAsia" w:eastAsia="宋体"/>
          <w:lang w:val="en-US" w:eastAsia="zh-CN"/>
        </w:rPr>
        <w:t xml:space="preserve">RP-182878, New WID on NR-based </w:t>
      </w:r>
      <w:r>
        <w:rPr>
          <w:rFonts w:eastAsia="宋体"/>
          <w:lang w:val="en-US" w:eastAsia="zh-CN"/>
        </w:rPr>
        <w:t>a</w:t>
      </w:r>
      <w:r>
        <w:rPr>
          <w:rFonts w:hint="eastAsia" w:eastAsia="宋体"/>
          <w:lang w:val="en-US" w:eastAsia="zh-CN"/>
        </w:rPr>
        <w:t xml:space="preserve">ccess to </w:t>
      </w:r>
      <w:r>
        <w:rPr>
          <w:rFonts w:eastAsia="宋体"/>
          <w:lang w:val="en-US" w:eastAsia="zh-CN"/>
        </w:rPr>
        <w:t>u</w:t>
      </w:r>
      <w:r>
        <w:rPr>
          <w:rFonts w:hint="eastAsia" w:eastAsia="宋体"/>
          <w:lang w:val="en-US" w:eastAsia="zh-CN"/>
        </w:rPr>
        <w:t xml:space="preserve">nlicensed </w:t>
      </w:r>
      <w:r>
        <w:rPr>
          <w:rFonts w:eastAsia="宋体"/>
          <w:lang w:val="en-US" w:eastAsia="zh-CN"/>
        </w:rPr>
        <w:t>s</w:t>
      </w:r>
      <w:r>
        <w:rPr>
          <w:rFonts w:hint="eastAsia" w:eastAsia="宋体"/>
          <w:lang w:val="en-US" w:eastAsia="zh-CN"/>
        </w:rPr>
        <w:t>pectrum, Qualcomm, Dec, 2018, RAN #82</w:t>
      </w:r>
    </w:p>
    <w:p>
      <w:pPr>
        <w:widowControl w:val="0"/>
        <w:numPr>
          <w:ilvl w:val="0"/>
          <w:numId w:val="15"/>
        </w:numPr>
        <w:autoSpaceDE w:val="0"/>
        <w:autoSpaceDN w:val="0"/>
        <w:adjustRightInd w:val="0"/>
        <w:spacing w:before="60" w:after="60" w:line="240" w:lineRule="auto"/>
        <w:jc w:val="both"/>
        <w:rPr>
          <w:rFonts w:eastAsia="宋体"/>
          <w:lang w:val="en-US" w:eastAsia="zh-CN"/>
        </w:rPr>
      </w:pPr>
      <w:bookmarkStart w:id="12" w:name="_Ref481486326"/>
      <w:bookmarkStart w:id="13" w:name="_Ref479756368"/>
      <w:r>
        <w:rPr>
          <w:rFonts w:hint="eastAsia" w:eastAsia="宋体"/>
          <w:lang w:val="en-US" w:eastAsia="zh-CN"/>
        </w:rPr>
        <w:t>Draft_Minutes_report_RAN1 #97</w:t>
      </w:r>
      <w:bookmarkEnd w:id="12"/>
      <w:bookmarkEnd w:id="13"/>
      <w:r>
        <w:rPr>
          <w:rFonts w:hint="eastAsia" w:eastAsia="宋体"/>
          <w:lang w:val="en-US" w:eastAsia="zh-CN"/>
        </w:rPr>
        <w:t>, May, 2019</w:t>
      </w:r>
    </w:p>
    <w:p>
      <w:pPr>
        <w:widowControl w:val="0"/>
        <w:numPr>
          <w:ilvl w:val="0"/>
          <w:numId w:val="15"/>
        </w:numPr>
        <w:autoSpaceDE w:val="0"/>
        <w:autoSpaceDN w:val="0"/>
        <w:adjustRightInd w:val="0"/>
        <w:spacing w:before="60" w:after="60" w:line="240" w:lineRule="auto"/>
        <w:jc w:val="both"/>
        <w:rPr>
          <w:rFonts w:eastAsia="宋体"/>
          <w:lang w:val="en-US" w:eastAsia="zh-CN"/>
        </w:rPr>
      </w:pPr>
      <w:r>
        <w:rPr>
          <w:rFonts w:hint="eastAsia" w:eastAsia="宋体"/>
          <w:lang w:val="en-US" w:eastAsia="zh-CN"/>
        </w:rPr>
        <w:t>3GPP, RP-191581 Guidance on essential functionality for NR-U, Qualcomm, June, 2019, RAN #84</w:t>
      </w:r>
    </w:p>
    <w:p>
      <w:pPr>
        <w:widowControl w:val="0"/>
        <w:numPr>
          <w:ilvl w:val="0"/>
          <w:numId w:val="15"/>
        </w:numPr>
        <w:autoSpaceDE w:val="0"/>
        <w:autoSpaceDN w:val="0"/>
        <w:adjustRightInd w:val="0"/>
        <w:spacing w:before="60" w:after="60" w:line="240" w:lineRule="auto"/>
        <w:jc w:val="both"/>
        <w:rPr>
          <w:rFonts w:hint="eastAsia" w:eastAsia="宋体"/>
          <w:lang w:val="en-US" w:eastAsia="zh-CN"/>
        </w:rPr>
      </w:pPr>
      <w:r>
        <w:rPr>
          <w:rFonts w:eastAsia="宋体"/>
          <w:lang w:val="en-US" w:eastAsia="zh-CN"/>
        </w:rPr>
        <w:t>ETSI regulations 301 893, 5 GHz RLAN;</w:t>
      </w:r>
      <w:r>
        <w:rPr>
          <w:rFonts w:hint="eastAsia" w:eastAsia="宋体"/>
          <w:lang w:val="en-US" w:eastAsia="zh-CN"/>
        </w:rPr>
        <w:t xml:space="preserve"> </w:t>
      </w:r>
      <w:r>
        <w:rPr>
          <w:rFonts w:eastAsia="宋体"/>
          <w:lang w:val="en-US" w:eastAsia="zh-CN"/>
        </w:rPr>
        <w:t>Harmonized Standard covering the essential requirements</w:t>
      </w:r>
      <w:r>
        <w:rPr>
          <w:rFonts w:hint="eastAsia" w:eastAsia="宋体"/>
          <w:lang w:val="en-US" w:eastAsia="zh-CN"/>
        </w:rPr>
        <w:t xml:space="preserve"> </w:t>
      </w:r>
      <w:r>
        <w:rPr>
          <w:rFonts w:eastAsia="宋体"/>
          <w:lang w:val="en-US" w:eastAsia="zh-CN"/>
        </w:rPr>
        <w:t>of article 3.2 of Directive 2014/53/EU V2.1.1 (2017-05</w:t>
      </w:r>
      <w:r>
        <w:rPr>
          <w:rFonts w:hint="eastAsia" w:eastAsia="宋体"/>
          <w:lang w:val="en-US" w:eastAsia="zh-CN"/>
        </w:rPr>
        <w:t>)</w:t>
      </w:r>
    </w:p>
    <w:p>
      <w:pPr>
        <w:widowControl w:val="0"/>
        <w:numPr>
          <w:ilvl w:val="0"/>
          <w:numId w:val="15"/>
        </w:numPr>
        <w:autoSpaceDE w:val="0"/>
        <w:autoSpaceDN w:val="0"/>
        <w:adjustRightInd w:val="0"/>
        <w:spacing w:before="60" w:after="60" w:line="240" w:lineRule="auto"/>
        <w:jc w:val="both"/>
        <w:rPr>
          <w:rFonts w:eastAsia="宋体"/>
          <w:lang w:val="en-US" w:eastAsia="zh-CN"/>
        </w:rPr>
      </w:pPr>
      <w:r>
        <w:rPr>
          <w:rFonts w:eastAsia="宋体"/>
          <w:lang w:val="en-US" w:eastAsia="zh-CN"/>
        </w:rPr>
        <w:t>3GPP TS 36.213, Physical layer procedures, V14.5.0, 2017-12</w:t>
      </w:r>
    </w:p>
    <w:p>
      <w:pPr>
        <w:widowControl w:val="0"/>
        <w:numPr>
          <w:ilvl w:val="0"/>
          <w:numId w:val="15"/>
        </w:numPr>
        <w:autoSpaceDE w:val="0"/>
        <w:autoSpaceDN w:val="0"/>
        <w:adjustRightInd w:val="0"/>
        <w:spacing w:before="60" w:after="60" w:line="240" w:lineRule="auto"/>
        <w:jc w:val="both"/>
        <w:rPr>
          <w:rFonts w:hint="eastAsia" w:eastAsia="宋体"/>
          <w:lang w:val="en-US" w:eastAsia="zh-CN"/>
        </w:rPr>
      </w:pPr>
      <w:r>
        <w:rPr>
          <w:rFonts w:eastAsia="宋体"/>
          <w:lang w:val="en-US" w:eastAsia="zh-CN"/>
        </w:rPr>
        <w:t>3GPP, R1-1812194</w:t>
      </w:r>
      <w:r>
        <w:rPr>
          <w:rFonts w:hint="eastAsia" w:eastAsia="宋体"/>
          <w:lang w:val="en-US" w:eastAsia="zh-CN"/>
        </w:rPr>
        <w:t xml:space="preserve">, Coexistence and channel access for NR unlicensed band operations, Huawei, HiSilicon, </w:t>
      </w:r>
      <w:r>
        <w:rPr>
          <w:rFonts w:eastAsia="宋体"/>
          <w:lang w:val="en-US" w:eastAsia="zh-CN"/>
        </w:rPr>
        <w:t xml:space="preserve">RAN1#95, </w:t>
      </w:r>
      <w:r>
        <w:rPr>
          <w:rFonts w:hint="eastAsia" w:eastAsia="宋体"/>
          <w:lang w:val="en-US" w:eastAsia="zh-CN"/>
        </w:rPr>
        <w:t>November, 2018</w:t>
      </w:r>
    </w:p>
    <w:p>
      <w:pPr>
        <w:widowControl w:val="0"/>
        <w:numPr>
          <w:ilvl w:val="0"/>
          <w:numId w:val="15"/>
        </w:numPr>
        <w:autoSpaceDE w:val="0"/>
        <w:autoSpaceDN w:val="0"/>
        <w:adjustRightInd w:val="0"/>
        <w:spacing w:before="60" w:after="60" w:line="240" w:lineRule="auto"/>
        <w:jc w:val="both"/>
        <w:rPr>
          <w:rFonts w:hint="eastAsia" w:eastAsia="宋体"/>
          <w:lang w:val="en-US" w:eastAsia="zh-CN"/>
        </w:rPr>
      </w:pPr>
      <w:r>
        <w:rPr>
          <w:rFonts w:eastAsia="宋体"/>
          <w:lang w:val="en-US" w:eastAsia="zh-CN"/>
        </w:rPr>
        <w:t>3GPP, R1-1813413</w:t>
      </w:r>
      <w:r>
        <w:rPr>
          <w:rFonts w:hint="eastAsia" w:eastAsia="宋体"/>
          <w:lang w:val="en-US" w:eastAsia="zh-CN"/>
        </w:rPr>
        <w:t xml:space="preserve">, Channel access procedures for NR unlicensed, Qualcomm, </w:t>
      </w:r>
      <w:r>
        <w:rPr>
          <w:rFonts w:eastAsia="宋体"/>
          <w:lang w:val="en-US" w:eastAsia="zh-CN"/>
        </w:rPr>
        <w:t xml:space="preserve">RAN1#95, </w:t>
      </w:r>
      <w:r>
        <w:rPr>
          <w:rFonts w:hint="eastAsia" w:eastAsia="宋体"/>
          <w:lang w:val="en-US" w:eastAsia="zh-CN"/>
        </w:rPr>
        <w:t>Nov</w:t>
      </w:r>
      <w:r>
        <w:rPr>
          <w:rFonts w:eastAsia="宋体"/>
          <w:lang w:val="en-US" w:eastAsia="zh-CN"/>
        </w:rPr>
        <w:t>ember</w:t>
      </w:r>
      <w:r>
        <w:rPr>
          <w:rFonts w:hint="eastAsia" w:eastAsia="宋体"/>
          <w:lang w:val="en-US" w:eastAsia="zh-CN"/>
        </w:rPr>
        <w:t>, 2018</w:t>
      </w:r>
    </w:p>
    <w:bookmarkEnd w:id="0"/>
    <w:p>
      <w:pPr>
        <w:widowControl w:val="0"/>
        <w:numPr>
          <w:ilvl w:val="-1"/>
          <w:numId w:val="0"/>
        </w:numPr>
        <w:autoSpaceDE w:val="0"/>
        <w:autoSpaceDN w:val="0"/>
        <w:adjustRightInd w:val="0"/>
        <w:spacing w:before="60" w:after="60" w:line="240" w:lineRule="auto"/>
        <w:ind w:left="0" w:firstLine="0"/>
        <w:jc w:val="both"/>
        <w:rPr>
          <w:rFonts w:eastAsia="宋体"/>
          <w:lang w:val="en-US" w:eastAsia="zh-CN"/>
        </w:rPr>
      </w:pPr>
    </w:p>
    <w:p>
      <w:pPr>
        <w:widowControl w:val="0"/>
        <w:autoSpaceDE w:val="0"/>
        <w:autoSpaceDN w:val="0"/>
        <w:adjustRightInd w:val="0"/>
        <w:spacing w:before="120" w:after="120" w:line="240" w:lineRule="auto"/>
        <w:jc w:val="both"/>
        <w:rPr>
          <w:rFonts w:eastAsia="宋体"/>
          <w:lang w:eastAsia="zh-CN"/>
        </w:rPr>
      </w:pPr>
    </w:p>
    <w:p>
      <w:pPr>
        <w:widowControl w:val="0"/>
        <w:numPr>
          <w:ilvl w:val="0"/>
          <w:numId w:val="0"/>
        </w:numPr>
        <w:autoSpaceDE w:val="0"/>
        <w:autoSpaceDN w:val="0"/>
        <w:adjustRightInd w:val="0"/>
        <w:spacing w:before="60" w:after="60" w:line="240" w:lineRule="auto"/>
        <w:jc w:val="both"/>
        <w:rPr>
          <w:rFonts w:hint="eastAsia" w:eastAsia="宋体"/>
          <w:lang w:val="en-US" w:eastAsia="zh-CN"/>
        </w:rPr>
      </w:pPr>
    </w:p>
    <w:sectPr>
      <w:footerReference r:id="rId3" w:type="default"/>
      <w:footerReference r:id="rId4" w:type="even"/>
      <w:footnotePr>
        <w:numRestart w:val="eachSect"/>
      </w:footnotePr>
      <w:pgSz w:w="12240" w:h="15840"/>
      <w:pgMar w:top="1418" w:right="1418" w:bottom="1418" w:left="1418" w:header="851" w:footer="340" w:gutter="0"/>
      <w:pgNumType w:start="1"/>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0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Arial Unicode MS">
    <w:altName w:val="Arial"/>
    <w:panose1 w:val="020B0604020202020204"/>
    <w:charset w:val="80"/>
    <w:family w:val="swiss"/>
    <w:pitch w:val="default"/>
    <w:sig w:usb0="00000000" w:usb1="00000000" w:usb2="0000003F" w:usb3="00000000" w:csb0="603F01FF" w:csb1="FFFF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Fonts w:ascii="Times New Roman" w:hAnsi="Times New Roman"/>
        <w:b w:val="0"/>
        <w:i w:val="0"/>
      </w:rPr>
    </w:pPr>
    <w:r>
      <w:rPr>
        <w:rFonts w:ascii="Times New Roman" w:hAnsi="Times New Roman"/>
        <w:b w:val="0"/>
        <w:i w:val="0"/>
      </w:rPr>
      <w:fldChar w:fldCharType="begin"/>
    </w:r>
    <w:r>
      <w:rPr>
        <w:rStyle w:val="27"/>
        <w:rFonts w:ascii="Times New Roman" w:hAnsi="Times New Roman"/>
        <w:b w:val="0"/>
        <w:i w:val="0"/>
      </w:rPr>
      <w:instrText xml:space="preserve">PAGE  </w:instrText>
    </w:r>
    <w:r>
      <w:rPr>
        <w:rFonts w:ascii="Times New Roman" w:hAnsi="Times New Roman"/>
        <w:b w:val="0"/>
        <w:i w:val="0"/>
      </w:rPr>
      <w:fldChar w:fldCharType="separate"/>
    </w:r>
    <w:r>
      <w:rPr>
        <w:rStyle w:val="27"/>
        <w:rFonts w:ascii="Times New Roman" w:hAnsi="Times New Roman"/>
        <w:b w:val="0"/>
        <w:i w:val="0"/>
      </w:rPr>
      <w:t>5</w:t>
    </w:r>
    <w:r>
      <w:rPr>
        <w:rFonts w:ascii="Times New Roman" w:hAnsi="Times New Roman"/>
        <w:b w:val="0"/>
        <w:i w:val="0"/>
      </w:rPr>
      <w:fldChar w:fldCharType="end"/>
    </w:r>
  </w:p>
  <w:p>
    <w:pPr>
      <w:pStyle w:val="1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27"/>
      </w:rPr>
    </w:pPr>
    <w:r>
      <w:fldChar w:fldCharType="begin"/>
    </w:r>
    <w:r>
      <w:rPr>
        <w:rStyle w:val="27"/>
      </w:rPr>
      <w:instrText xml:space="preserve">PAGE  </w:instrText>
    </w:r>
    <w:r>
      <w:fldChar w:fldCharType="separate"/>
    </w:r>
    <w:r>
      <w:rPr>
        <w:rStyle w:val="27"/>
      </w:rPr>
      <w:t>1</w:t>
    </w:r>
    <w:r>
      <w:fldChar w:fldCharType="end"/>
    </w:r>
  </w:p>
  <w:p>
    <w:pPr>
      <w:pStyle w:val="1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D6F34E9"/>
    <w:multiLevelType w:val="singleLevel"/>
    <w:tmpl w:val="AD6F34E9"/>
    <w:lvl w:ilvl="0" w:tentative="0">
      <w:start w:val="1"/>
      <w:numFmt w:val="bullet"/>
      <w:lvlText w:val=""/>
      <w:lvlJc w:val="left"/>
      <w:pPr>
        <w:ind w:left="420" w:hanging="420"/>
      </w:pPr>
      <w:rPr>
        <w:rFonts w:hint="default" w:ascii="Wingdings" w:hAnsi="Wingdings"/>
      </w:rPr>
    </w:lvl>
  </w:abstractNum>
  <w:abstractNum w:abstractNumId="1">
    <w:nsid w:val="D84B9BBB"/>
    <w:multiLevelType w:val="singleLevel"/>
    <w:tmpl w:val="D84B9BBB"/>
    <w:lvl w:ilvl="0" w:tentative="0">
      <w:start w:val="1"/>
      <w:numFmt w:val="bullet"/>
      <w:lvlText w:val=""/>
      <w:lvlJc w:val="left"/>
      <w:pPr>
        <w:ind w:left="420" w:hanging="420"/>
      </w:pPr>
      <w:rPr>
        <w:rFonts w:hint="default" w:ascii="Wingdings" w:hAnsi="Wingdings"/>
      </w:rPr>
    </w:lvl>
  </w:abstractNum>
  <w:abstractNum w:abstractNumId="2">
    <w:nsid w:val="0367430B"/>
    <w:multiLevelType w:val="multilevel"/>
    <w:tmpl w:val="0367430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56E7F5C"/>
    <w:multiLevelType w:val="multilevel"/>
    <w:tmpl w:val="056E7F5C"/>
    <w:lvl w:ilvl="0" w:tentative="0">
      <w:start w:val="1"/>
      <w:numFmt w:val="decimal"/>
      <w:pStyle w:val="117"/>
      <w:lvlText w:val="[%1] "/>
      <w:lvlJc w:val="left"/>
      <w:pPr>
        <w:tabs>
          <w:tab w:val="left" w:pos="420"/>
        </w:tabs>
        <w:ind w:left="420" w:hanging="420"/>
      </w:pPr>
      <w:rPr>
        <w:rFonts w:hint="eastAsia"/>
        <w:lang w:val="en-US"/>
      </w:rPr>
    </w:lvl>
    <w:lvl w:ilvl="1"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2"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3" w:tentative="0">
      <w:start w:val="0"/>
      <w:numFmt w:val="bullet"/>
      <w:lvlText w:val=""/>
      <w:lvlJc w:val="left"/>
      <w:pPr>
        <w:tabs>
          <w:tab w:val="left" w:pos="780"/>
        </w:tabs>
        <w:ind w:left="780" w:hanging="360"/>
      </w:pPr>
      <w:rPr>
        <w:rFonts w:hint="default" w:ascii="Symbol" w:hAnsi="Symbol" w:eastAsia="MS Mincho" w:cs="Times New Roman"/>
        <w:color w:val="auto"/>
        <w:lang w:val="en-US"/>
      </w:r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4">
    <w:nsid w:val="0D9C4862"/>
    <w:multiLevelType w:val="multilevel"/>
    <w:tmpl w:val="0D9C4862"/>
    <w:lvl w:ilvl="0" w:tentative="0">
      <w:start w:val="1"/>
      <w:numFmt w:val="decimal"/>
      <w:pStyle w:val="2"/>
      <w:lvlText w:val="%1"/>
      <w:lvlJc w:val="left"/>
      <w:pPr>
        <w:tabs>
          <w:tab w:val="left" w:pos="450"/>
        </w:tabs>
        <w:ind w:left="450" w:hanging="450"/>
      </w:pPr>
      <w:rPr>
        <w:rFonts w:hint="default" w:eastAsia="MS Mincho"/>
        <w:lang w:val="en-US"/>
      </w:rPr>
    </w:lvl>
    <w:lvl w:ilvl="1" w:tentative="0">
      <w:start w:val="1"/>
      <w:numFmt w:val="decimal"/>
      <w:pStyle w:val="3"/>
      <w:lvlText w:val="%1.%2"/>
      <w:lvlJc w:val="left"/>
      <w:pPr>
        <w:tabs>
          <w:tab w:val="left" w:pos="720"/>
        </w:tabs>
        <w:ind w:left="720" w:hanging="720"/>
      </w:pPr>
      <w:rPr>
        <w:rFonts w:hint="default" w:eastAsia="MS Mincho"/>
        <w:lang w:val="en-GB"/>
      </w:rPr>
    </w:lvl>
    <w:lvl w:ilvl="2" w:tentative="0">
      <w:start w:val="1"/>
      <w:numFmt w:val="decimal"/>
      <w:pStyle w:val="4"/>
      <w:lvlText w:val="%1.%2.%3"/>
      <w:lvlJc w:val="left"/>
      <w:pPr>
        <w:tabs>
          <w:tab w:val="left" w:pos="720"/>
        </w:tabs>
        <w:ind w:left="720" w:hanging="720"/>
      </w:pPr>
      <w:rPr>
        <w:rFonts w:hint="default" w:eastAsia="MS Mincho"/>
      </w:rPr>
    </w:lvl>
    <w:lvl w:ilvl="3" w:tentative="0">
      <w:start w:val="1"/>
      <w:numFmt w:val="decimal"/>
      <w:lvlText w:val="%1.%2.%3.%4"/>
      <w:lvlJc w:val="left"/>
      <w:pPr>
        <w:tabs>
          <w:tab w:val="left" w:pos="1080"/>
        </w:tabs>
        <w:ind w:left="1080" w:hanging="1080"/>
      </w:pPr>
      <w:rPr>
        <w:rFonts w:hint="default" w:eastAsia="MS Mincho"/>
      </w:rPr>
    </w:lvl>
    <w:lvl w:ilvl="4" w:tentative="0">
      <w:start w:val="1"/>
      <w:numFmt w:val="decimal"/>
      <w:lvlText w:val="%1.%2.%3.%4.%5"/>
      <w:lvlJc w:val="left"/>
      <w:pPr>
        <w:tabs>
          <w:tab w:val="left" w:pos="1440"/>
        </w:tabs>
        <w:ind w:left="1440" w:hanging="1440"/>
      </w:pPr>
      <w:rPr>
        <w:rFonts w:hint="default" w:eastAsia="MS Mincho"/>
      </w:rPr>
    </w:lvl>
    <w:lvl w:ilvl="5" w:tentative="0">
      <w:start w:val="1"/>
      <w:numFmt w:val="decimal"/>
      <w:lvlText w:val="%1.%2.%3.%4.%5.%6"/>
      <w:lvlJc w:val="left"/>
      <w:pPr>
        <w:tabs>
          <w:tab w:val="left" w:pos="1800"/>
        </w:tabs>
        <w:ind w:left="1800" w:hanging="1800"/>
      </w:pPr>
      <w:rPr>
        <w:rFonts w:hint="default" w:eastAsia="MS Mincho"/>
      </w:rPr>
    </w:lvl>
    <w:lvl w:ilvl="6" w:tentative="0">
      <w:start w:val="1"/>
      <w:numFmt w:val="decimal"/>
      <w:lvlText w:val="%1.%2.%3.%4.%5.%6.%7"/>
      <w:lvlJc w:val="left"/>
      <w:pPr>
        <w:tabs>
          <w:tab w:val="left" w:pos="1800"/>
        </w:tabs>
        <w:ind w:left="1800" w:hanging="1800"/>
      </w:pPr>
      <w:rPr>
        <w:rFonts w:hint="default" w:eastAsia="MS Mincho"/>
      </w:rPr>
    </w:lvl>
    <w:lvl w:ilvl="7" w:tentative="0">
      <w:start w:val="1"/>
      <w:numFmt w:val="decimal"/>
      <w:lvlText w:val="%1.%2.%3.%4.%5.%6.%7.%8"/>
      <w:lvlJc w:val="left"/>
      <w:pPr>
        <w:tabs>
          <w:tab w:val="left" w:pos="2160"/>
        </w:tabs>
        <w:ind w:left="2160" w:hanging="2160"/>
      </w:pPr>
      <w:rPr>
        <w:rFonts w:hint="default" w:eastAsia="MS Mincho"/>
      </w:rPr>
    </w:lvl>
    <w:lvl w:ilvl="8" w:tentative="0">
      <w:start w:val="1"/>
      <w:numFmt w:val="decimal"/>
      <w:lvlText w:val="%1.%2.%3.%4.%5.%6.%7.%8.%9"/>
      <w:lvlJc w:val="left"/>
      <w:pPr>
        <w:tabs>
          <w:tab w:val="left" w:pos="2520"/>
        </w:tabs>
        <w:ind w:left="2520" w:hanging="2520"/>
      </w:pPr>
      <w:rPr>
        <w:rFonts w:hint="default" w:eastAsia="MS Mincho"/>
      </w:rPr>
    </w:lvl>
  </w:abstractNum>
  <w:abstractNum w:abstractNumId="5">
    <w:nsid w:val="228513F0"/>
    <w:multiLevelType w:val="multilevel"/>
    <w:tmpl w:val="228513F0"/>
    <w:lvl w:ilvl="0" w:tentative="0">
      <w:start w:val="1"/>
      <w:numFmt w:val="decimal"/>
      <w:pStyle w:val="102"/>
      <w:lvlText w:val="[%1]"/>
      <w:lvlJc w:val="left"/>
      <w:pPr>
        <w:tabs>
          <w:tab w:val="left" w:pos="0"/>
        </w:tabs>
        <w:ind w:left="340" w:hanging="340"/>
      </w:pPr>
      <w:rPr>
        <w:rFonts w:hint="default" w:hAnsi="Arial"/>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6">
    <w:nsid w:val="3AA46647"/>
    <w:multiLevelType w:val="multilevel"/>
    <w:tmpl w:val="3AA46647"/>
    <w:lvl w:ilvl="0" w:tentative="0">
      <w:start w:val="1"/>
      <w:numFmt w:val="decimal"/>
      <w:pStyle w:val="11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981B8A2"/>
    <w:multiLevelType w:val="multilevel"/>
    <w:tmpl w:val="4981B8A2"/>
    <w:lvl w:ilvl="0" w:tentative="0">
      <w:start w:val="1"/>
      <w:numFmt w:val="bullet"/>
      <w:lvlText w:val=""/>
      <w:lvlJc w:val="left"/>
      <w:pPr>
        <w:ind w:left="420" w:hanging="420"/>
      </w:pPr>
      <w:rPr>
        <w:rFonts w:hint="default" w:ascii="Wingdings" w:hAnsi="Wingdings" w:cs="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4A0C60D4"/>
    <w:multiLevelType w:val="multilevel"/>
    <w:tmpl w:val="4A0C60D4"/>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9">
    <w:nsid w:val="4A55685D"/>
    <w:multiLevelType w:val="singleLevel"/>
    <w:tmpl w:val="4A55685D"/>
    <w:lvl w:ilvl="0" w:tentative="0">
      <w:start w:val="1"/>
      <w:numFmt w:val="bullet"/>
      <w:pStyle w:val="91"/>
      <w:lvlText w:val=""/>
      <w:lvlJc w:val="left"/>
      <w:pPr>
        <w:tabs>
          <w:tab w:val="left" w:pos="992"/>
        </w:tabs>
        <w:ind w:left="992" w:hanging="425"/>
      </w:pPr>
      <w:rPr>
        <w:rFonts w:hint="default" w:ascii="Symbol" w:hAnsi="Symbol"/>
      </w:rPr>
    </w:lvl>
  </w:abstractNum>
  <w:abstractNum w:abstractNumId="10">
    <w:nsid w:val="52CA544A"/>
    <w:multiLevelType w:val="singleLevel"/>
    <w:tmpl w:val="52CA544A"/>
    <w:lvl w:ilvl="0" w:tentative="0">
      <w:start w:val="1"/>
      <w:numFmt w:val="decimal"/>
      <w:pStyle w:val="108"/>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1">
    <w:nsid w:val="5AEFF9DC"/>
    <w:multiLevelType w:val="singleLevel"/>
    <w:tmpl w:val="5AEFF9DC"/>
    <w:lvl w:ilvl="0" w:tentative="0">
      <w:start w:val="1"/>
      <w:numFmt w:val="bullet"/>
      <w:lvlText w:val=""/>
      <w:lvlJc w:val="left"/>
      <w:pPr>
        <w:ind w:left="420" w:hanging="420"/>
      </w:pPr>
      <w:rPr>
        <w:rFonts w:hint="default" w:ascii="Wingdings" w:hAnsi="Wingdings"/>
      </w:rPr>
    </w:lvl>
  </w:abstractNum>
  <w:abstractNum w:abstractNumId="12">
    <w:nsid w:val="5CF31FFE"/>
    <w:multiLevelType w:val="multilevel"/>
    <w:tmpl w:val="5CF31FF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6E760327"/>
    <w:multiLevelType w:val="multilevel"/>
    <w:tmpl w:val="6E760327"/>
    <w:lvl w:ilvl="0" w:tentative="0">
      <w:start w:val="1"/>
      <w:numFmt w:val="decimal"/>
      <w:pStyle w:val="95"/>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4">
    <w:nsid w:val="7BC330F5"/>
    <w:multiLevelType w:val="multilevel"/>
    <w:tmpl w:val="7BC330F5"/>
    <w:lvl w:ilvl="0" w:tentative="0">
      <w:start w:val="1"/>
      <w:numFmt w:val="bullet"/>
      <w:pStyle w:val="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9"/>
  </w:num>
  <w:num w:numId="3">
    <w:abstractNumId w:val="13"/>
  </w:num>
  <w:num w:numId="4">
    <w:abstractNumId w:val="14"/>
  </w:num>
  <w:num w:numId="5">
    <w:abstractNumId w:val="5"/>
  </w:num>
  <w:num w:numId="6">
    <w:abstractNumId w:val="10"/>
  </w:num>
  <w:num w:numId="7">
    <w:abstractNumId w:val="6"/>
  </w:num>
  <w:num w:numId="8">
    <w:abstractNumId w:val="3"/>
  </w:num>
  <w:num w:numId="9">
    <w:abstractNumId w:val="12"/>
  </w:num>
  <w:num w:numId="10">
    <w:abstractNumId w:val="8"/>
  </w:num>
  <w:num w:numId="11">
    <w:abstractNumId w:val="1"/>
  </w:num>
  <w:num w:numId="12">
    <w:abstractNumId w:val="7"/>
  </w:num>
  <w:num w:numId="13">
    <w:abstractNumId w:val="0"/>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bordersDoNotSurroundHeader w:val="0"/>
  <w:bordersDoNotSurroundFooter w:val="0"/>
  <w:documentProtection w:enforcement="0"/>
  <w:defaultTabStop w:val="720"/>
  <w:hyphenationZone w:val="425"/>
  <w:drawingGridHorizontalSpacing w:val="100"/>
  <w:displayHorizontalDrawingGridEvery w:val="1"/>
  <w:displayVerticalDrawingGridEvery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2148"/>
    <w:rsid w:val="000A249A"/>
    <w:rsid w:val="000A2B68"/>
    <w:rsid w:val="000A30F1"/>
    <w:rsid w:val="000A33D7"/>
    <w:rsid w:val="000A3483"/>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705C"/>
    <w:rsid w:val="001B7453"/>
    <w:rsid w:val="001B77B5"/>
    <w:rsid w:val="001C0270"/>
    <w:rsid w:val="001C0463"/>
    <w:rsid w:val="001C0666"/>
    <w:rsid w:val="001C0FEB"/>
    <w:rsid w:val="001C133A"/>
    <w:rsid w:val="001C15A6"/>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5102"/>
    <w:rsid w:val="0025557C"/>
    <w:rsid w:val="0025586C"/>
    <w:rsid w:val="00255A16"/>
    <w:rsid w:val="00255E96"/>
    <w:rsid w:val="00256634"/>
    <w:rsid w:val="002567E5"/>
    <w:rsid w:val="00256A11"/>
    <w:rsid w:val="00256CAB"/>
    <w:rsid w:val="00256F9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B79"/>
    <w:rsid w:val="00377CA6"/>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614"/>
    <w:rsid w:val="003E27FC"/>
    <w:rsid w:val="003E387E"/>
    <w:rsid w:val="003E39B1"/>
    <w:rsid w:val="003E3B22"/>
    <w:rsid w:val="003E3C8E"/>
    <w:rsid w:val="003E3E3A"/>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63B4"/>
    <w:rsid w:val="003F63C6"/>
    <w:rsid w:val="003F6CB6"/>
    <w:rsid w:val="003F6E83"/>
    <w:rsid w:val="003F7069"/>
    <w:rsid w:val="003F70F7"/>
    <w:rsid w:val="003F732F"/>
    <w:rsid w:val="003F75E1"/>
    <w:rsid w:val="003F7862"/>
    <w:rsid w:val="003F7F57"/>
    <w:rsid w:val="004000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6006"/>
    <w:rsid w:val="0044646B"/>
    <w:rsid w:val="00446B79"/>
    <w:rsid w:val="00446C52"/>
    <w:rsid w:val="00446C55"/>
    <w:rsid w:val="00446DC5"/>
    <w:rsid w:val="00446F7E"/>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A0C"/>
    <w:rsid w:val="0049442F"/>
    <w:rsid w:val="004949C0"/>
    <w:rsid w:val="00494F0F"/>
    <w:rsid w:val="00495053"/>
    <w:rsid w:val="0049542F"/>
    <w:rsid w:val="00496166"/>
    <w:rsid w:val="00496470"/>
    <w:rsid w:val="00496605"/>
    <w:rsid w:val="00496DF4"/>
    <w:rsid w:val="00496E91"/>
    <w:rsid w:val="004979DA"/>
    <w:rsid w:val="00497A0E"/>
    <w:rsid w:val="00497D2A"/>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C11"/>
    <w:rsid w:val="00565C97"/>
    <w:rsid w:val="00565CC2"/>
    <w:rsid w:val="00565D09"/>
    <w:rsid w:val="00565D0B"/>
    <w:rsid w:val="00565D13"/>
    <w:rsid w:val="00565F7A"/>
    <w:rsid w:val="005663F8"/>
    <w:rsid w:val="00566502"/>
    <w:rsid w:val="0056655D"/>
    <w:rsid w:val="00566576"/>
    <w:rsid w:val="00566891"/>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705A"/>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A07"/>
    <w:rsid w:val="00691D12"/>
    <w:rsid w:val="00691D2A"/>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C62"/>
    <w:rsid w:val="006D6FC7"/>
    <w:rsid w:val="006D7069"/>
    <w:rsid w:val="006D7424"/>
    <w:rsid w:val="006D7438"/>
    <w:rsid w:val="006D79C5"/>
    <w:rsid w:val="006D7AE5"/>
    <w:rsid w:val="006D7BD8"/>
    <w:rsid w:val="006D7BDE"/>
    <w:rsid w:val="006E0327"/>
    <w:rsid w:val="006E0600"/>
    <w:rsid w:val="006E0A3A"/>
    <w:rsid w:val="006E0C6D"/>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51B5"/>
    <w:rsid w:val="00735270"/>
    <w:rsid w:val="00735813"/>
    <w:rsid w:val="007358E2"/>
    <w:rsid w:val="00735D30"/>
    <w:rsid w:val="00735D67"/>
    <w:rsid w:val="00735E32"/>
    <w:rsid w:val="00735E8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F8"/>
    <w:rsid w:val="00780E09"/>
    <w:rsid w:val="007811B4"/>
    <w:rsid w:val="0078121C"/>
    <w:rsid w:val="0078129F"/>
    <w:rsid w:val="00781555"/>
    <w:rsid w:val="0078161B"/>
    <w:rsid w:val="007817E3"/>
    <w:rsid w:val="0078191D"/>
    <w:rsid w:val="00781A56"/>
    <w:rsid w:val="00781A9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1047"/>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4BB"/>
    <w:rsid w:val="007A45F5"/>
    <w:rsid w:val="007A4625"/>
    <w:rsid w:val="007A4A2C"/>
    <w:rsid w:val="007A4B3A"/>
    <w:rsid w:val="007A4CAE"/>
    <w:rsid w:val="007A4D69"/>
    <w:rsid w:val="007A4E0F"/>
    <w:rsid w:val="007A4F1E"/>
    <w:rsid w:val="007A5BAF"/>
    <w:rsid w:val="007A5CEF"/>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7B"/>
    <w:rsid w:val="007D188F"/>
    <w:rsid w:val="007D1B34"/>
    <w:rsid w:val="007D1D7C"/>
    <w:rsid w:val="007D20BD"/>
    <w:rsid w:val="007D23FD"/>
    <w:rsid w:val="007D2740"/>
    <w:rsid w:val="007D2A55"/>
    <w:rsid w:val="007D2B5B"/>
    <w:rsid w:val="007D2BEB"/>
    <w:rsid w:val="007D2D2A"/>
    <w:rsid w:val="007D3A97"/>
    <w:rsid w:val="007D3C8D"/>
    <w:rsid w:val="007D3F97"/>
    <w:rsid w:val="007D3FE0"/>
    <w:rsid w:val="007D3FF5"/>
    <w:rsid w:val="007D42D7"/>
    <w:rsid w:val="007D440B"/>
    <w:rsid w:val="007D4429"/>
    <w:rsid w:val="007D46F3"/>
    <w:rsid w:val="007D5080"/>
    <w:rsid w:val="007D5398"/>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20FE"/>
    <w:rsid w:val="007F244E"/>
    <w:rsid w:val="007F2A28"/>
    <w:rsid w:val="007F2A9D"/>
    <w:rsid w:val="007F2E83"/>
    <w:rsid w:val="007F3587"/>
    <w:rsid w:val="007F35D8"/>
    <w:rsid w:val="007F3616"/>
    <w:rsid w:val="007F3D4E"/>
    <w:rsid w:val="007F41FB"/>
    <w:rsid w:val="007F42C7"/>
    <w:rsid w:val="007F42D7"/>
    <w:rsid w:val="007F43A4"/>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3124"/>
    <w:rsid w:val="00853374"/>
    <w:rsid w:val="008533E1"/>
    <w:rsid w:val="00853BA0"/>
    <w:rsid w:val="0085459D"/>
    <w:rsid w:val="0085480C"/>
    <w:rsid w:val="00854D6C"/>
    <w:rsid w:val="008550C7"/>
    <w:rsid w:val="00855184"/>
    <w:rsid w:val="008554CE"/>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601B"/>
    <w:rsid w:val="009163DC"/>
    <w:rsid w:val="009163F0"/>
    <w:rsid w:val="00916AC3"/>
    <w:rsid w:val="00916D81"/>
    <w:rsid w:val="00916E52"/>
    <w:rsid w:val="00916F5D"/>
    <w:rsid w:val="00917093"/>
    <w:rsid w:val="009174AA"/>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71E"/>
    <w:rsid w:val="00962720"/>
    <w:rsid w:val="00962C15"/>
    <w:rsid w:val="00962EAE"/>
    <w:rsid w:val="00963219"/>
    <w:rsid w:val="00963268"/>
    <w:rsid w:val="009635D3"/>
    <w:rsid w:val="009637FD"/>
    <w:rsid w:val="00963869"/>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57A8"/>
    <w:rsid w:val="00BD6150"/>
    <w:rsid w:val="00BD65B4"/>
    <w:rsid w:val="00BD6623"/>
    <w:rsid w:val="00BD6C27"/>
    <w:rsid w:val="00BD7A2E"/>
    <w:rsid w:val="00BD7A30"/>
    <w:rsid w:val="00BD7C95"/>
    <w:rsid w:val="00BE0077"/>
    <w:rsid w:val="00BE03FC"/>
    <w:rsid w:val="00BE06E7"/>
    <w:rsid w:val="00BE0B4B"/>
    <w:rsid w:val="00BE0BC2"/>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12A0"/>
    <w:rsid w:val="00DB130A"/>
    <w:rsid w:val="00DB18C5"/>
    <w:rsid w:val="00DB24E6"/>
    <w:rsid w:val="00DB26E6"/>
    <w:rsid w:val="00DB27E6"/>
    <w:rsid w:val="00DB2C41"/>
    <w:rsid w:val="00DB34A6"/>
    <w:rsid w:val="00DB3A4E"/>
    <w:rsid w:val="00DB3B59"/>
    <w:rsid w:val="00DB3B79"/>
    <w:rsid w:val="00DB3E32"/>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538"/>
    <w:rsid w:val="00F82B0E"/>
    <w:rsid w:val="00F82C1D"/>
    <w:rsid w:val="00F82C74"/>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100347"/>
    <w:rsid w:val="01120C0E"/>
    <w:rsid w:val="01181D5F"/>
    <w:rsid w:val="01215A1B"/>
    <w:rsid w:val="01226A27"/>
    <w:rsid w:val="01275A84"/>
    <w:rsid w:val="014538E3"/>
    <w:rsid w:val="0151177E"/>
    <w:rsid w:val="015C3B59"/>
    <w:rsid w:val="015C568F"/>
    <w:rsid w:val="01627245"/>
    <w:rsid w:val="0171781D"/>
    <w:rsid w:val="017313AC"/>
    <w:rsid w:val="017B323D"/>
    <w:rsid w:val="017D57AE"/>
    <w:rsid w:val="01843AD0"/>
    <w:rsid w:val="01881F4C"/>
    <w:rsid w:val="018A7039"/>
    <w:rsid w:val="018E422E"/>
    <w:rsid w:val="0191059C"/>
    <w:rsid w:val="019A214A"/>
    <w:rsid w:val="01A16B04"/>
    <w:rsid w:val="01A43B5C"/>
    <w:rsid w:val="01AF097B"/>
    <w:rsid w:val="01C326DA"/>
    <w:rsid w:val="01CD6175"/>
    <w:rsid w:val="01CF6472"/>
    <w:rsid w:val="01D7237F"/>
    <w:rsid w:val="01E90EAA"/>
    <w:rsid w:val="01F0730D"/>
    <w:rsid w:val="01F37778"/>
    <w:rsid w:val="01FC6829"/>
    <w:rsid w:val="02052204"/>
    <w:rsid w:val="0218641B"/>
    <w:rsid w:val="023D68E9"/>
    <w:rsid w:val="025B6E07"/>
    <w:rsid w:val="02622CBC"/>
    <w:rsid w:val="02821AE1"/>
    <w:rsid w:val="0282269B"/>
    <w:rsid w:val="02837FA5"/>
    <w:rsid w:val="028438E6"/>
    <w:rsid w:val="028F7F84"/>
    <w:rsid w:val="029415F5"/>
    <w:rsid w:val="02A078F6"/>
    <w:rsid w:val="02AC3B9C"/>
    <w:rsid w:val="02BC1004"/>
    <w:rsid w:val="02D8254A"/>
    <w:rsid w:val="030C5E59"/>
    <w:rsid w:val="03127134"/>
    <w:rsid w:val="03131BEB"/>
    <w:rsid w:val="03180265"/>
    <w:rsid w:val="031923E9"/>
    <w:rsid w:val="03244425"/>
    <w:rsid w:val="03380EE2"/>
    <w:rsid w:val="034800C3"/>
    <w:rsid w:val="03763069"/>
    <w:rsid w:val="037D0817"/>
    <w:rsid w:val="03876C33"/>
    <w:rsid w:val="03901647"/>
    <w:rsid w:val="03A0019E"/>
    <w:rsid w:val="03A80B76"/>
    <w:rsid w:val="03AC7855"/>
    <w:rsid w:val="03B005F4"/>
    <w:rsid w:val="03B76952"/>
    <w:rsid w:val="03CF2B82"/>
    <w:rsid w:val="03E0522E"/>
    <w:rsid w:val="03F65997"/>
    <w:rsid w:val="04066AB8"/>
    <w:rsid w:val="041162ED"/>
    <w:rsid w:val="041562A8"/>
    <w:rsid w:val="041D3FE2"/>
    <w:rsid w:val="04210D8C"/>
    <w:rsid w:val="04364A60"/>
    <w:rsid w:val="043815C4"/>
    <w:rsid w:val="043B501A"/>
    <w:rsid w:val="04586E3A"/>
    <w:rsid w:val="046861DC"/>
    <w:rsid w:val="04735957"/>
    <w:rsid w:val="048869A8"/>
    <w:rsid w:val="048F68A9"/>
    <w:rsid w:val="04B14C72"/>
    <w:rsid w:val="04C06E5C"/>
    <w:rsid w:val="04D12DFB"/>
    <w:rsid w:val="04E12B8C"/>
    <w:rsid w:val="04EB52D7"/>
    <w:rsid w:val="04EF4836"/>
    <w:rsid w:val="04F06D1D"/>
    <w:rsid w:val="04F10E3F"/>
    <w:rsid w:val="050113F8"/>
    <w:rsid w:val="052D6178"/>
    <w:rsid w:val="05382A12"/>
    <w:rsid w:val="053A645E"/>
    <w:rsid w:val="055A0EFA"/>
    <w:rsid w:val="055A269C"/>
    <w:rsid w:val="056C08F8"/>
    <w:rsid w:val="05721CA8"/>
    <w:rsid w:val="05841830"/>
    <w:rsid w:val="05876734"/>
    <w:rsid w:val="058843A5"/>
    <w:rsid w:val="05980A73"/>
    <w:rsid w:val="059D34CA"/>
    <w:rsid w:val="05B92FBE"/>
    <w:rsid w:val="05D94EBE"/>
    <w:rsid w:val="05DF3F1B"/>
    <w:rsid w:val="05E95F0A"/>
    <w:rsid w:val="05EA4E24"/>
    <w:rsid w:val="05ED35B8"/>
    <w:rsid w:val="05F074A4"/>
    <w:rsid w:val="060D5AA5"/>
    <w:rsid w:val="061A06CE"/>
    <w:rsid w:val="06261750"/>
    <w:rsid w:val="06276042"/>
    <w:rsid w:val="06340A05"/>
    <w:rsid w:val="063B1FB2"/>
    <w:rsid w:val="063D7168"/>
    <w:rsid w:val="06485014"/>
    <w:rsid w:val="067A3DAD"/>
    <w:rsid w:val="0686332F"/>
    <w:rsid w:val="06A43D59"/>
    <w:rsid w:val="06C1240E"/>
    <w:rsid w:val="06C46BF4"/>
    <w:rsid w:val="06CB725E"/>
    <w:rsid w:val="06E1290F"/>
    <w:rsid w:val="06F76AE6"/>
    <w:rsid w:val="07015EFA"/>
    <w:rsid w:val="0707006E"/>
    <w:rsid w:val="070B2CE3"/>
    <w:rsid w:val="072922C5"/>
    <w:rsid w:val="072F6CF4"/>
    <w:rsid w:val="0734615D"/>
    <w:rsid w:val="0735734E"/>
    <w:rsid w:val="07386D83"/>
    <w:rsid w:val="073B19BC"/>
    <w:rsid w:val="074A4044"/>
    <w:rsid w:val="07826DCD"/>
    <w:rsid w:val="07871DCC"/>
    <w:rsid w:val="078B07F9"/>
    <w:rsid w:val="078E4F4B"/>
    <w:rsid w:val="079F3045"/>
    <w:rsid w:val="07AC7E7C"/>
    <w:rsid w:val="07B34910"/>
    <w:rsid w:val="07BB7897"/>
    <w:rsid w:val="07CE47C1"/>
    <w:rsid w:val="07D62B24"/>
    <w:rsid w:val="083B21D6"/>
    <w:rsid w:val="084745D0"/>
    <w:rsid w:val="08476D2A"/>
    <w:rsid w:val="084A42E3"/>
    <w:rsid w:val="084D185F"/>
    <w:rsid w:val="084E1A17"/>
    <w:rsid w:val="0862758A"/>
    <w:rsid w:val="086A574E"/>
    <w:rsid w:val="08792428"/>
    <w:rsid w:val="087945D7"/>
    <w:rsid w:val="087E66D2"/>
    <w:rsid w:val="088E6842"/>
    <w:rsid w:val="08B20EA3"/>
    <w:rsid w:val="08B574EC"/>
    <w:rsid w:val="08C447CA"/>
    <w:rsid w:val="08E279FE"/>
    <w:rsid w:val="08E539A8"/>
    <w:rsid w:val="08FF3E43"/>
    <w:rsid w:val="09275714"/>
    <w:rsid w:val="093120ED"/>
    <w:rsid w:val="094077F0"/>
    <w:rsid w:val="09552E33"/>
    <w:rsid w:val="09566CA4"/>
    <w:rsid w:val="095C0D34"/>
    <w:rsid w:val="09736BC3"/>
    <w:rsid w:val="0974287E"/>
    <w:rsid w:val="09832AAA"/>
    <w:rsid w:val="09876497"/>
    <w:rsid w:val="098B7640"/>
    <w:rsid w:val="098F1481"/>
    <w:rsid w:val="09904C1A"/>
    <w:rsid w:val="099F5C87"/>
    <w:rsid w:val="09A918FF"/>
    <w:rsid w:val="09AF29E2"/>
    <w:rsid w:val="09DF01A9"/>
    <w:rsid w:val="09DF4DE6"/>
    <w:rsid w:val="09F5356A"/>
    <w:rsid w:val="09F756A5"/>
    <w:rsid w:val="09FB5032"/>
    <w:rsid w:val="0A007FB9"/>
    <w:rsid w:val="0A0248E2"/>
    <w:rsid w:val="0A197D7E"/>
    <w:rsid w:val="0A260017"/>
    <w:rsid w:val="0A350A2E"/>
    <w:rsid w:val="0A613380"/>
    <w:rsid w:val="0A68565C"/>
    <w:rsid w:val="0A7C07DD"/>
    <w:rsid w:val="0A7D67BF"/>
    <w:rsid w:val="0A860C80"/>
    <w:rsid w:val="0A8D2821"/>
    <w:rsid w:val="0AAC726A"/>
    <w:rsid w:val="0ABB44F9"/>
    <w:rsid w:val="0AC139E2"/>
    <w:rsid w:val="0AC716D4"/>
    <w:rsid w:val="0ADD2D69"/>
    <w:rsid w:val="0ADF132F"/>
    <w:rsid w:val="0AE21A7A"/>
    <w:rsid w:val="0AEA5FE2"/>
    <w:rsid w:val="0AF456BE"/>
    <w:rsid w:val="0AFF24CE"/>
    <w:rsid w:val="0B1543BB"/>
    <w:rsid w:val="0B257548"/>
    <w:rsid w:val="0B2920B8"/>
    <w:rsid w:val="0B420FE1"/>
    <w:rsid w:val="0B4C3E35"/>
    <w:rsid w:val="0B4E0560"/>
    <w:rsid w:val="0B5431C9"/>
    <w:rsid w:val="0B5C20A7"/>
    <w:rsid w:val="0B6426D9"/>
    <w:rsid w:val="0B66128E"/>
    <w:rsid w:val="0B6C3AAF"/>
    <w:rsid w:val="0B7C3C97"/>
    <w:rsid w:val="0B851AE2"/>
    <w:rsid w:val="0B995225"/>
    <w:rsid w:val="0BA077C8"/>
    <w:rsid w:val="0BB55819"/>
    <w:rsid w:val="0BC43EFA"/>
    <w:rsid w:val="0BE54882"/>
    <w:rsid w:val="0BE64F43"/>
    <w:rsid w:val="0BE9464C"/>
    <w:rsid w:val="0BF17147"/>
    <w:rsid w:val="0BF22E42"/>
    <w:rsid w:val="0BF61FC1"/>
    <w:rsid w:val="0C0016BA"/>
    <w:rsid w:val="0C090EA4"/>
    <w:rsid w:val="0C0C05C8"/>
    <w:rsid w:val="0C0E3321"/>
    <w:rsid w:val="0C1C3753"/>
    <w:rsid w:val="0C30263B"/>
    <w:rsid w:val="0C3A46A5"/>
    <w:rsid w:val="0C473253"/>
    <w:rsid w:val="0C4F022E"/>
    <w:rsid w:val="0C5170A3"/>
    <w:rsid w:val="0C753611"/>
    <w:rsid w:val="0C8328A9"/>
    <w:rsid w:val="0C8F5033"/>
    <w:rsid w:val="0C923DBE"/>
    <w:rsid w:val="0C92626A"/>
    <w:rsid w:val="0C992FB8"/>
    <w:rsid w:val="0CA06B2F"/>
    <w:rsid w:val="0CA5215C"/>
    <w:rsid w:val="0CAC621A"/>
    <w:rsid w:val="0CB1691B"/>
    <w:rsid w:val="0CB23D75"/>
    <w:rsid w:val="0CCF6077"/>
    <w:rsid w:val="0CE01ED0"/>
    <w:rsid w:val="0CEA4514"/>
    <w:rsid w:val="0CED5790"/>
    <w:rsid w:val="0D02400E"/>
    <w:rsid w:val="0D0C6566"/>
    <w:rsid w:val="0D1E5FB2"/>
    <w:rsid w:val="0D204BC7"/>
    <w:rsid w:val="0D232014"/>
    <w:rsid w:val="0D276A0D"/>
    <w:rsid w:val="0D2B3E5D"/>
    <w:rsid w:val="0D4C56D2"/>
    <w:rsid w:val="0D834A5C"/>
    <w:rsid w:val="0D893EB2"/>
    <w:rsid w:val="0D9C16DD"/>
    <w:rsid w:val="0DD400A1"/>
    <w:rsid w:val="0DD520DE"/>
    <w:rsid w:val="0DDC03D6"/>
    <w:rsid w:val="0DE53E77"/>
    <w:rsid w:val="0DFA76E6"/>
    <w:rsid w:val="0DFC649B"/>
    <w:rsid w:val="0E052000"/>
    <w:rsid w:val="0E075E25"/>
    <w:rsid w:val="0E1A5799"/>
    <w:rsid w:val="0E1A59BE"/>
    <w:rsid w:val="0E1B6184"/>
    <w:rsid w:val="0E1B77B3"/>
    <w:rsid w:val="0E1C0F16"/>
    <w:rsid w:val="0E2735BC"/>
    <w:rsid w:val="0E3640EF"/>
    <w:rsid w:val="0E4F1CE0"/>
    <w:rsid w:val="0E4F5252"/>
    <w:rsid w:val="0E572C3E"/>
    <w:rsid w:val="0E8271E6"/>
    <w:rsid w:val="0E887123"/>
    <w:rsid w:val="0E8B4D0B"/>
    <w:rsid w:val="0EAB594D"/>
    <w:rsid w:val="0EBD6AC8"/>
    <w:rsid w:val="0EC854C4"/>
    <w:rsid w:val="0ECC4D2D"/>
    <w:rsid w:val="0ED95C8A"/>
    <w:rsid w:val="0EF80EE4"/>
    <w:rsid w:val="0EFF773D"/>
    <w:rsid w:val="0F0D12D4"/>
    <w:rsid w:val="0F0F3003"/>
    <w:rsid w:val="0F1108EC"/>
    <w:rsid w:val="0F226CC5"/>
    <w:rsid w:val="0F2D4EDE"/>
    <w:rsid w:val="0F502B54"/>
    <w:rsid w:val="0F6013A0"/>
    <w:rsid w:val="0F8D0B4E"/>
    <w:rsid w:val="0F8F102F"/>
    <w:rsid w:val="0FA470F8"/>
    <w:rsid w:val="0FB5088D"/>
    <w:rsid w:val="0FBF3418"/>
    <w:rsid w:val="0FC46A56"/>
    <w:rsid w:val="0FC57BB8"/>
    <w:rsid w:val="0FD6188A"/>
    <w:rsid w:val="0FEC5D00"/>
    <w:rsid w:val="0FF575F8"/>
    <w:rsid w:val="10000831"/>
    <w:rsid w:val="100579D5"/>
    <w:rsid w:val="10063E75"/>
    <w:rsid w:val="100E163A"/>
    <w:rsid w:val="1026756C"/>
    <w:rsid w:val="104E4B56"/>
    <w:rsid w:val="10532774"/>
    <w:rsid w:val="1054045C"/>
    <w:rsid w:val="105A58C1"/>
    <w:rsid w:val="10706296"/>
    <w:rsid w:val="10797EF4"/>
    <w:rsid w:val="107D3C0E"/>
    <w:rsid w:val="1083031A"/>
    <w:rsid w:val="108778E8"/>
    <w:rsid w:val="109821F7"/>
    <w:rsid w:val="10A15189"/>
    <w:rsid w:val="10AF75A3"/>
    <w:rsid w:val="10B47A73"/>
    <w:rsid w:val="10B81757"/>
    <w:rsid w:val="10BF2E44"/>
    <w:rsid w:val="10D00203"/>
    <w:rsid w:val="10D32F67"/>
    <w:rsid w:val="10D54519"/>
    <w:rsid w:val="10DC0B31"/>
    <w:rsid w:val="10ED7F30"/>
    <w:rsid w:val="10F87453"/>
    <w:rsid w:val="10FF2F5F"/>
    <w:rsid w:val="11083C1F"/>
    <w:rsid w:val="11163D3E"/>
    <w:rsid w:val="11272C1C"/>
    <w:rsid w:val="112F01F3"/>
    <w:rsid w:val="11362E5F"/>
    <w:rsid w:val="113F6847"/>
    <w:rsid w:val="11477748"/>
    <w:rsid w:val="11573160"/>
    <w:rsid w:val="116327EE"/>
    <w:rsid w:val="116739ED"/>
    <w:rsid w:val="119734D3"/>
    <w:rsid w:val="11A3386B"/>
    <w:rsid w:val="11AF7FCE"/>
    <w:rsid w:val="11BB4CD7"/>
    <w:rsid w:val="11C23717"/>
    <w:rsid w:val="11C43249"/>
    <w:rsid w:val="11DA3226"/>
    <w:rsid w:val="11DA7C8F"/>
    <w:rsid w:val="11DD2374"/>
    <w:rsid w:val="11EA5AEE"/>
    <w:rsid w:val="11EC3740"/>
    <w:rsid w:val="12047298"/>
    <w:rsid w:val="121220D8"/>
    <w:rsid w:val="1215211F"/>
    <w:rsid w:val="12172F68"/>
    <w:rsid w:val="121B6C13"/>
    <w:rsid w:val="12203257"/>
    <w:rsid w:val="122320E5"/>
    <w:rsid w:val="12337389"/>
    <w:rsid w:val="12371DF9"/>
    <w:rsid w:val="124D1B03"/>
    <w:rsid w:val="12504C31"/>
    <w:rsid w:val="12516E7E"/>
    <w:rsid w:val="1265749A"/>
    <w:rsid w:val="1267663B"/>
    <w:rsid w:val="1277751E"/>
    <w:rsid w:val="12982522"/>
    <w:rsid w:val="12B43182"/>
    <w:rsid w:val="12B46A84"/>
    <w:rsid w:val="12BA0258"/>
    <w:rsid w:val="12C625B4"/>
    <w:rsid w:val="12D35644"/>
    <w:rsid w:val="12FE32F7"/>
    <w:rsid w:val="13002861"/>
    <w:rsid w:val="13105018"/>
    <w:rsid w:val="131C5CF6"/>
    <w:rsid w:val="13227EB1"/>
    <w:rsid w:val="13400045"/>
    <w:rsid w:val="136F49A1"/>
    <w:rsid w:val="13783516"/>
    <w:rsid w:val="137C2658"/>
    <w:rsid w:val="137E142A"/>
    <w:rsid w:val="13824BD3"/>
    <w:rsid w:val="138A039A"/>
    <w:rsid w:val="139532E4"/>
    <w:rsid w:val="13A30FC3"/>
    <w:rsid w:val="13A90461"/>
    <w:rsid w:val="13BF1D88"/>
    <w:rsid w:val="13EB3632"/>
    <w:rsid w:val="14237882"/>
    <w:rsid w:val="143E1552"/>
    <w:rsid w:val="143F6AFF"/>
    <w:rsid w:val="146B0173"/>
    <w:rsid w:val="14870828"/>
    <w:rsid w:val="14920E25"/>
    <w:rsid w:val="1498573C"/>
    <w:rsid w:val="14991CB0"/>
    <w:rsid w:val="14A1759C"/>
    <w:rsid w:val="14B204D7"/>
    <w:rsid w:val="14B75A7E"/>
    <w:rsid w:val="14C155EF"/>
    <w:rsid w:val="14C82B34"/>
    <w:rsid w:val="14EA76A8"/>
    <w:rsid w:val="14EB34AC"/>
    <w:rsid w:val="14EB6105"/>
    <w:rsid w:val="14F2308B"/>
    <w:rsid w:val="14FD6BC6"/>
    <w:rsid w:val="153C511F"/>
    <w:rsid w:val="155F58CA"/>
    <w:rsid w:val="1560619C"/>
    <w:rsid w:val="15700B17"/>
    <w:rsid w:val="1584685F"/>
    <w:rsid w:val="158570C9"/>
    <w:rsid w:val="1592090C"/>
    <w:rsid w:val="159B4CCA"/>
    <w:rsid w:val="15A46E63"/>
    <w:rsid w:val="15A52865"/>
    <w:rsid w:val="15AB3CC0"/>
    <w:rsid w:val="15C562E2"/>
    <w:rsid w:val="15D03364"/>
    <w:rsid w:val="15F62CC1"/>
    <w:rsid w:val="15F725BC"/>
    <w:rsid w:val="15FA7C65"/>
    <w:rsid w:val="16081ED8"/>
    <w:rsid w:val="16095AFF"/>
    <w:rsid w:val="160A5000"/>
    <w:rsid w:val="161E428D"/>
    <w:rsid w:val="16270C37"/>
    <w:rsid w:val="162B3FD9"/>
    <w:rsid w:val="163539B0"/>
    <w:rsid w:val="163A4FD7"/>
    <w:rsid w:val="165243D6"/>
    <w:rsid w:val="1670292F"/>
    <w:rsid w:val="16876F47"/>
    <w:rsid w:val="16A8222F"/>
    <w:rsid w:val="16B70F95"/>
    <w:rsid w:val="16DE10C7"/>
    <w:rsid w:val="16E353AF"/>
    <w:rsid w:val="16EE785C"/>
    <w:rsid w:val="17005BF2"/>
    <w:rsid w:val="17150DAB"/>
    <w:rsid w:val="172A6B63"/>
    <w:rsid w:val="17313BED"/>
    <w:rsid w:val="17480164"/>
    <w:rsid w:val="174B5EF9"/>
    <w:rsid w:val="174E4C34"/>
    <w:rsid w:val="175079B9"/>
    <w:rsid w:val="17543A7F"/>
    <w:rsid w:val="1758341D"/>
    <w:rsid w:val="1768007F"/>
    <w:rsid w:val="1798692F"/>
    <w:rsid w:val="17A6334D"/>
    <w:rsid w:val="17AE317B"/>
    <w:rsid w:val="17CD6181"/>
    <w:rsid w:val="17DE72B7"/>
    <w:rsid w:val="17E20D1C"/>
    <w:rsid w:val="18321DF7"/>
    <w:rsid w:val="184173E8"/>
    <w:rsid w:val="185826DA"/>
    <w:rsid w:val="18611EA0"/>
    <w:rsid w:val="18653077"/>
    <w:rsid w:val="186E2B2D"/>
    <w:rsid w:val="187619E6"/>
    <w:rsid w:val="187E5D26"/>
    <w:rsid w:val="1894179F"/>
    <w:rsid w:val="18A116BD"/>
    <w:rsid w:val="18F6629D"/>
    <w:rsid w:val="1939490B"/>
    <w:rsid w:val="197536BB"/>
    <w:rsid w:val="19806D56"/>
    <w:rsid w:val="19864661"/>
    <w:rsid w:val="19B50A5E"/>
    <w:rsid w:val="19BD1CFE"/>
    <w:rsid w:val="19C54A70"/>
    <w:rsid w:val="19C945DE"/>
    <w:rsid w:val="19CA23B9"/>
    <w:rsid w:val="19D74F04"/>
    <w:rsid w:val="19DC58FA"/>
    <w:rsid w:val="19F35A27"/>
    <w:rsid w:val="19F56342"/>
    <w:rsid w:val="1A055C38"/>
    <w:rsid w:val="1A087D0E"/>
    <w:rsid w:val="1A0E07A1"/>
    <w:rsid w:val="1A2E6712"/>
    <w:rsid w:val="1A3A4F94"/>
    <w:rsid w:val="1A5363F7"/>
    <w:rsid w:val="1A65142D"/>
    <w:rsid w:val="1A6B3616"/>
    <w:rsid w:val="1A872A12"/>
    <w:rsid w:val="1A8D28D6"/>
    <w:rsid w:val="1A8E00E9"/>
    <w:rsid w:val="1A9226AE"/>
    <w:rsid w:val="1AC176FB"/>
    <w:rsid w:val="1AD03F0F"/>
    <w:rsid w:val="1AE82E43"/>
    <w:rsid w:val="1AFC1C91"/>
    <w:rsid w:val="1B074DA9"/>
    <w:rsid w:val="1B095903"/>
    <w:rsid w:val="1B0C26CA"/>
    <w:rsid w:val="1B135D29"/>
    <w:rsid w:val="1B351EE8"/>
    <w:rsid w:val="1B3B734E"/>
    <w:rsid w:val="1B47751A"/>
    <w:rsid w:val="1B4D3741"/>
    <w:rsid w:val="1B551190"/>
    <w:rsid w:val="1B55577C"/>
    <w:rsid w:val="1B82787B"/>
    <w:rsid w:val="1B8357F2"/>
    <w:rsid w:val="1B8D4B2E"/>
    <w:rsid w:val="1B903EE2"/>
    <w:rsid w:val="1BA0668A"/>
    <w:rsid w:val="1BBC1049"/>
    <w:rsid w:val="1BC67D9A"/>
    <w:rsid w:val="1BDA50E3"/>
    <w:rsid w:val="1BE2301B"/>
    <w:rsid w:val="1BF867C3"/>
    <w:rsid w:val="1C04440C"/>
    <w:rsid w:val="1C101482"/>
    <w:rsid w:val="1C263616"/>
    <w:rsid w:val="1C2F45BE"/>
    <w:rsid w:val="1C316715"/>
    <w:rsid w:val="1C377675"/>
    <w:rsid w:val="1C3D50A3"/>
    <w:rsid w:val="1C757F7F"/>
    <w:rsid w:val="1C787286"/>
    <w:rsid w:val="1C7D7EB8"/>
    <w:rsid w:val="1C924399"/>
    <w:rsid w:val="1C9A5EA0"/>
    <w:rsid w:val="1C9F6C4A"/>
    <w:rsid w:val="1CBB0F59"/>
    <w:rsid w:val="1CBB7CFB"/>
    <w:rsid w:val="1CBE2DAD"/>
    <w:rsid w:val="1CC7659B"/>
    <w:rsid w:val="1CD41FC4"/>
    <w:rsid w:val="1CD955BC"/>
    <w:rsid w:val="1CF52455"/>
    <w:rsid w:val="1CFB4DD2"/>
    <w:rsid w:val="1D2768F8"/>
    <w:rsid w:val="1D2C06E2"/>
    <w:rsid w:val="1D3B59B9"/>
    <w:rsid w:val="1D441B58"/>
    <w:rsid w:val="1D4428DE"/>
    <w:rsid w:val="1D487B7E"/>
    <w:rsid w:val="1D4D79F9"/>
    <w:rsid w:val="1D5D6ACF"/>
    <w:rsid w:val="1D5E7A8C"/>
    <w:rsid w:val="1D6222F8"/>
    <w:rsid w:val="1D805237"/>
    <w:rsid w:val="1D810454"/>
    <w:rsid w:val="1DA2040C"/>
    <w:rsid w:val="1DA533ED"/>
    <w:rsid w:val="1DA83214"/>
    <w:rsid w:val="1DB65020"/>
    <w:rsid w:val="1DC41BB0"/>
    <w:rsid w:val="1DC65AF6"/>
    <w:rsid w:val="1E042D27"/>
    <w:rsid w:val="1E0E23C8"/>
    <w:rsid w:val="1E365099"/>
    <w:rsid w:val="1E3C35CE"/>
    <w:rsid w:val="1E4E7A0E"/>
    <w:rsid w:val="1E4F1888"/>
    <w:rsid w:val="1E742DF8"/>
    <w:rsid w:val="1E750074"/>
    <w:rsid w:val="1E7D153B"/>
    <w:rsid w:val="1E9F341B"/>
    <w:rsid w:val="1EA42A59"/>
    <w:rsid w:val="1EA569F7"/>
    <w:rsid w:val="1EAC5F6A"/>
    <w:rsid w:val="1EB23F53"/>
    <w:rsid w:val="1EB31AED"/>
    <w:rsid w:val="1EBB6441"/>
    <w:rsid w:val="1EE10A81"/>
    <w:rsid w:val="1EF43711"/>
    <w:rsid w:val="1EF451B0"/>
    <w:rsid w:val="1EF6775E"/>
    <w:rsid w:val="1EFE123B"/>
    <w:rsid w:val="1EFE1FB4"/>
    <w:rsid w:val="1F015E1D"/>
    <w:rsid w:val="1F0467F7"/>
    <w:rsid w:val="1F054165"/>
    <w:rsid w:val="1F123352"/>
    <w:rsid w:val="1F1659F6"/>
    <w:rsid w:val="1F3B75FF"/>
    <w:rsid w:val="1F41163A"/>
    <w:rsid w:val="1F546471"/>
    <w:rsid w:val="1F5C3C4E"/>
    <w:rsid w:val="1F690D21"/>
    <w:rsid w:val="1F7B76BF"/>
    <w:rsid w:val="1F7C26CB"/>
    <w:rsid w:val="1F7F7D85"/>
    <w:rsid w:val="1F885D57"/>
    <w:rsid w:val="1FA27229"/>
    <w:rsid w:val="1FA6339C"/>
    <w:rsid w:val="1FB11014"/>
    <w:rsid w:val="1FBC79E0"/>
    <w:rsid w:val="1FC74197"/>
    <w:rsid w:val="1FD479BA"/>
    <w:rsid w:val="1FD55230"/>
    <w:rsid w:val="1FE15B0A"/>
    <w:rsid w:val="20006656"/>
    <w:rsid w:val="20084F74"/>
    <w:rsid w:val="200C6F0C"/>
    <w:rsid w:val="201D4044"/>
    <w:rsid w:val="201E5A7F"/>
    <w:rsid w:val="20213B0F"/>
    <w:rsid w:val="202C6A57"/>
    <w:rsid w:val="20347263"/>
    <w:rsid w:val="203E746B"/>
    <w:rsid w:val="20450A76"/>
    <w:rsid w:val="20455F9C"/>
    <w:rsid w:val="205358CB"/>
    <w:rsid w:val="20543631"/>
    <w:rsid w:val="20565824"/>
    <w:rsid w:val="208B227B"/>
    <w:rsid w:val="208E3E84"/>
    <w:rsid w:val="20934C03"/>
    <w:rsid w:val="2097534B"/>
    <w:rsid w:val="20992CFD"/>
    <w:rsid w:val="20A443A7"/>
    <w:rsid w:val="20AC32E3"/>
    <w:rsid w:val="20B27C05"/>
    <w:rsid w:val="20CA4CDE"/>
    <w:rsid w:val="20EA32FE"/>
    <w:rsid w:val="20F17C8F"/>
    <w:rsid w:val="20FE3807"/>
    <w:rsid w:val="212B15F0"/>
    <w:rsid w:val="212D241D"/>
    <w:rsid w:val="21485CC6"/>
    <w:rsid w:val="215E0FE1"/>
    <w:rsid w:val="21704749"/>
    <w:rsid w:val="21882C92"/>
    <w:rsid w:val="218B5863"/>
    <w:rsid w:val="21963AE9"/>
    <w:rsid w:val="219926C2"/>
    <w:rsid w:val="21B92386"/>
    <w:rsid w:val="21CC6790"/>
    <w:rsid w:val="21CD469C"/>
    <w:rsid w:val="21D33ED7"/>
    <w:rsid w:val="21D71CCE"/>
    <w:rsid w:val="21E7264A"/>
    <w:rsid w:val="21EC11B4"/>
    <w:rsid w:val="21F139D9"/>
    <w:rsid w:val="21F75252"/>
    <w:rsid w:val="21FC15A7"/>
    <w:rsid w:val="22243C81"/>
    <w:rsid w:val="223B79DE"/>
    <w:rsid w:val="223E4404"/>
    <w:rsid w:val="224B437A"/>
    <w:rsid w:val="224D0D69"/>
    <w:rsid w:val="22A91330"/>
    <w:rsid w:val="22B34785"/>
    <w:rsid w:val="22D04F77"/>
    <w:rsid w:val="22F149E7"/>
    <w:rsid w:val="23151BBD"/>
    <w:rsid w:val="232064A5"/>
    <w:rsid w:val="232A5F2C"/>
    <w:rsid w:val="2352170F"/>
    <w:rsid w:val="23537622"/>
    <w:rsid w:val="236739BC"/>
    <w:rsid w:val="237E7F63"/>
    <w:rsid w:val="238718C4"/>
    <w:rsid w:val="23A60BED"/>
    <w:rsid w:val="23AF20CF"/>
    <w:rsid w:val="23BE0C34"/>
    <w:rsid w:val="23FE39DA"/>
    <w:rsid w:val="241B4EFA"/>
    <w:rsid w:val="2422724B"/>
    <w:rsid w:val="245B7134"/>
    <w:rsid w:val="246F1B15"/>
    <w:rsid w:val="2485277B"/>
    <w:rsid w:val="248F2AEF"/>
    <w:rsid w:val="2492033C"/>
    <w:rsid w:val="249D3DA9"/>
    <w:rsid w:val="24AD6B35"/>
    <w:rsid w:val="24D834E8"/>
    <w:rsid w:val="24EA2AB5"/>
    <w:rsid w:val="25024CF1"/>
    <w:rsid w:val="25112921"/>
    <w:rsid w:val="25153A7B"/>
    <w:rsid w:val="251B7C63"/>
    <w:rsid w:val="252F41B5"/>
    <w:rsid w:val="253E482D"/>
    <w:rsid w:val="25415276"/>
    <w:rsid w:val="25443395"/>
    <w:rsid w:val="25480684"/>
    <w:rsid w:val="254B11E9"/>
    <w:rsid w:val="255514A1"/>
    <w:rsid w:val="255B6449"/>
    <w:rsid w:val="258007D6"/>
    <w:rsid w:val="25892068"/>
    <w:rsid w:val="25A534F7"/>
    <w:rsid w:val="25B40894"/>
    <w:rsid w:val="25C1645F"/>
    <w:rsid w:val="25D80A4D"/>
    <w:rsid w:val="25F92FDB"/>
    <w:rsid w:val="26001A57"/>
    <w:rsid w:val="26022936"/>
    <w:rsid w:val="26095F44"/>
    <w:rsid w:val="263142D4"/>
    <w:rsid w:val="26447916"/>
    <w:rsid w:val="265E0639"/>
    <w:rsid w:val="26696824"/>
    <w:rsid w:val="266C42F7"/>
    <w:rsid w:val="267109C3"/>
    <w:rsid w:val="267365C7"/>
    <w:rsid w:val="268A5924"/>
    <w:rsid w:val="26972C43"/>
    <w:rsid w:val="26CB7903"/>
    <w:rsid w:val="26D771E7"/>
    <w:rsid w:val="26ED2E1C"/>
    <w:rsid w:val="26EF6891"/>
    <w:rsid w:val="27064754"/>
    <w:rsid w:val="271313BF"/>
    <w:rsid w:val="27190AE2"/>
    <w:rsid w:val="2728538E"/>
    <w:rsid w:val="272F28E5"/>
    <w:rsid w:val="273E000B"/>
    <w:rsid w:val="275A49BC"/>
    <w:rsid w:val="275C1141"/>
    <w:rsid w:val="276023AE"/>
    <w:rsid w:val="27685C29"/>
    <w:rsid w:val="276E5D6B"/>
    <w:rsid w:val="276F6AD9"/>
    <w:rsid w:val="277C70AE"/>
    <w:rsid w:val="278630A6"/>
    <w:rsid w:val="2786663F"/>
    <w:rsid w:val="27B947C2"/>
    <w:rsid w:val="27DB36C2"/>
    <w:rsid w:val="27DB4429"/>
    <w:rsid w:val="28052235"/>
    <w:rsid w:val="281430C3"/>
    <w:rsid w:val="28152F24"/>
    <w:rsid w:val="281671B7"/>
    <w:rsid w:val="281E3EAE"/>
    <w:rsid w:val="28395805"/>
    <w:rsid w:val="285D13A9"/>
    <w:rsid w:val="28621496"/>
    <w:rsid w:val="289813BC"/>
    <w:rsid w:val="28A742C0"/>
    <w:rsid w:val="28B222C6"/>
    <w:rsid w:val="28BC08CE"/>
    <w:rsid w:val="28CF2CCD"/>
    <w:rsid w:val="28D334D0"/>
    <w:rsid w:val="28D701CA"/>
    <w:rsid w:val="28EB5815"/>
    <w:rsid w:val="28FA5BE1"/>
    <w:rsid w:val="290B3ADD"/>
    <w:rsid w:val="29242AD0"/>
    <w:rsid w:val="29251C92"/>
    <w:rsid w:val="29415D74"/>
    <w:rsid w:val="29421D49"/>
    <w:rsid w:val="2954117E"/>
    <w:rsid w:val="295B0F1F"/>
    <w:rsid w:val="295B72FD"/>
    <w:rsid w:val="296854E7"/>
    <w:rsid w:val="29705FD0"/>
    <w:rsid w:val="297A51BC"/>
    <w:rsid w:val="299D603F"/>
    <w:rsid w:val="29A9096D"/>
    <w:rsid w:val="29F31B60"/>
    <w:rsid w:val="29FD3CFC"/>
    <w:rsid w:val="29FF2DEE"/>
    <w:rsid w:val="2A010675"/>
    <w:rsid w:val="2A0555DF"/>
    <w:rsid w:val="2A074829"/>
    <w:rsid w:val="2A203DF6"/>
    <w:rsid w:val="2A3D2220"/>
    <w:rsid w:val="2A460ABD"/>
    <w:rsid w:val="2A6625BB"/>
    <w:rsid w:val="2AA71F23"/>
    <w:rsid w:val="2AA824F5"/>
    <w:rsid w:val="2AB17574"/>
    <w:rsid w:val="2AB87157"/>
    <w:rsid w:val="2ABA6525"/>
    <w:rsid w:val="2ACD11D1"/>
    <w:rsid w:val="2AD35375"/>
    <w:rsid w:val="2AE62A58"/>
    <w:rsid w:val="2AF81ECB"/>
    <w:rsid w:val="2AF87E90"/>
    <w:rsid w:val="2AFF1DEE"/>
    <w:rsid w:val="2B0E023E"/>
    <w:rsid w:val="2B181E15"/>
    <w:rsid w:val="2B1D5E9C"/>
    <w:rsid w:val="2B1F7E02"/>
    <w:rsid w:val="2B275FA7"/>
    <w:rsid w:val="2B34404C"/>
    <w:rsid w:val="2B503BE9"/>
    <w:rsid w:val="2B5D4286"/>
    <w:rsid w:val="2B6241D0"/>
    <w:rsid w:val="2B6635C4"/>
    <w:rsid w:val="2B7327A0"/>
    <w:rsid w:val="2B7B3555"/>
    <w:rsid w:val="2B985EDD"/>
    <w:rsid w:val="2BA63509"/>
    <w:rsid w:val="2BBC1803"/>
    <w:rsid w:val="2BC37AF5"/>
    <w:rsid w:val="2BCA2615"/>
    <w:rsid w:val="2BCD5BB3"/>
    <w:rsid w:val="2BCE12ED"/>
    <w:rsid w:val="2BCE5522"/>
    <w:rsid w:val="2BEA35FC"/>
    <w:rsid w:val="2BFB0B13"/>
    <w:rsid w:val="2C230952"/>
    <w:rsid w:val="2C235F5A"/>
    <w:rsid w:val="2C343D09"/>
    <w:rsid w:val="2C5E5584"/>
    <w:rsid w:val="2C686023"/>
    <w:rsid w:val="2C6C33C4"/>
    <w:rsid w:val="2C757714"/>
    <w:rsid w:val="2C7D09EA"/>
    <w:rsid w:val="2C824963"/>
    <w:rsid w:val="2C8766FB"/>
    <w:rsid w:val="2C907E61"/>
    <w:rsid w:val="2C9B65C3"/>
    <w:rsid w:val="2CBD7757"/>
    <w:rsid w:val="2CC44E07"/>
    <w:rsid w:val="2CC569CB"/>
    <w:rsid w:val="2CC74803"/>
    <w:rsid w:val="2CCE1CF6"/>
    <w:rsid w:val="2CEB5CD0"/>
    <w:rsid w:val="2D2E00AD"/>
    <w:rsid w:val="2D317FAA"/>
    <w:rsid w:val="2D4C0E52"/>
    <w:rsid w:val="2D4C5395"/>
    <w:rsid w:val="2D5809C0"/>
    <w:rsid w:val="2D623805"/>
    <w:rsid w:val="2D6D3CA2"/>
    <w:rsid w:val="2D781D43"/>
    <w:rsid w:val="2D7D7121"/>
    <w:rsid w:val="2D854A69"/>
    <w:rsid w:val="2DAB42E1"/>
    <w:rsid w:val="2DB26597"/>
    <w:rsid w:val="2DB5614E"/>
    <w:rsid w:val="2DCB194C"/>
    <w:rsid w:val="2DDF642E"/>
    <w:rsid w:val="2DE32A97"/>
    <w:rsid w:val="2DF635D7"/>
    <w:rsid w:val="2E056DE4"/>
    <w:rsid w:val="2E0901D2"/>
    <w:rsid w:val="2E203718"/>
    <w:rsid w:val="2E234CF1"/>
    <w:rsid w:val="2E2746AE"/>
    <w:rsid w:val="2E2C6D07"/>
    <w:rsid w:val="2E2F6083"/>
    <w:rsid w:val="2E572CC0"/>
    <w:rsid w:val="2EB005F7"/>
    <w:rsid w:val="2EB14523"/>
    <w:rsid w:val="2EB5032D"/>
    <w:rsid w:val="2ED42187"/>
    <w:rsid w:val="2EDB1B05"/>
    <w:rsid w:val="2EDE6E27"/>
    <w:rsid w:val="2EE124DD"/>
    <w:rsid w:val="2EE70CD5"/>
    <w:rsid w:val="2EEF4A6B"/>
    <w:rsid w:val="2F0D112B"/>
    <w:rsid w:val="2F3A54E2"/>
    <w:rsid w:val="2F4F5EEC"/>
    <w:rsid w:val="2F525F81"/>
    <w:rsid w:val="2F6126A2"/>
    <w:rsid w:val="2F657E18"/>
    <w:rsid w:val="2F6F1349"/>
    <w:rsid w:val="2F7F3437"/>
    <w:rsid w:val="2F817DD0"/>
    <w:rsid w:val="2F825648"/>
    <w:rsid w:val="2F8B1796"/>
    <w:rsid w:val="2F9B6578"/>
    <w:rsid w:val="2FD804D0"/>
    <w:rsid w:val="2FF51385"/>
    <w:rsid w:val="2FFE0E4A"/>
    <w:rsid w:val="30032FEE"/>
    <w:rsid w:val="300635B2"/>
    <w:rsid w:val="300D11EE"/>
    <w:rsid w:val="30214C7E"/>
    <w:rsid w:val="3042487F"/>
    <w:rsid w:val="304D5D1A"/>
    <w:rsid w:val="304F6507"/>
    <w:rsid w:val="305B6E73"/>
    <w:rsid w:val="305E79BD"/>
    <w:rsid w:val="30624751"/>
    <w:rsid w:val="3081657F"/>
    <w:rsid w:val="309E55A3"/>
    <w:rsid w:val="30A64A4F"/>
    <w:rsid w:val="30B31354"/>
    <w:rsid w:val="30B31546"/>
    <w:rsid w:val="30DC47F8"/>
    <w:rsid w:val="30F00D6B"/>
    <w:rsid w:val="30F91599"/>
    <w:rsid w:val="30FD18B7"/>
    <w:rsid w:val="31073C5C"/>
    <w:rsid w:val="312F75C1"/>
    <w:rsid w:val="31366F42"/>
    <w:rsid w:val="313C7BC6"/>
    <w:rsid w:val="317B6247"/>
    <w:rsid w:val="3184584E"/>
    <w:rsid w:val="31890AFA"/>
    <w:rsid w:val="31942C78"/>
    <w:rsid w:val="31B575A2"/>
    <w:rsid w:val="31E159BF"/>
    <w:rsid w:val="31E31A45"/>
    <w:rsid w:val="31EE1B5E"/>
    <w:rsid w:val="31F95C2B"/>
    <w:rsid w:val="321D6B3D"/>
    <w:rsid w:val="32270B61"/>
    <w:rsid w:val="323E51C2"/>
    <w:rsid w:val="326052C1"/>
    <w:rsid w:val="326B0BAF"/>
    <w:rsid w:val="32764D1D"/>
    <w:rsid w:val="32844B47"/>
    <w:rsid w:val="3288180B"/>
    <w:rsid w:val="32D23AA1"/>
    <w:rsid w:val="32E7237C"/>
    <w:rsid w:val="32FA4E00"/>
    <w:rsid w:val="33097FCB"/>
    <w:rsid w:val="330F07F9"/>
    <w:rsid w:val="331E1AA2"/>
    <w:rsid w:val="33236153"/>
    <w:rsid w:val="3325361E"/>
    <w:rsid w:val="332C6DB4"/>
    <w:rsid w:val="33407A22"/>
    <w:rsid w:val="3343097A"/>
    <w:rsid w:val="33684AED"/>
    <w:rsid w:val="33753B52"/>
    <w:rsid w:val="337E5775"/>
    <w:rsid w:val="33AF031D"/>
    <w:rsid w:val="33BC761E"/>
    <w:rsid w:val="33BF6CBC"/>
    <w:rsid w:val="33D2644C"/>
    <w:rsid w:val="33D81A4C"/>
    <w:rsid w:val="33FC5728"/>
    <w:rsid w:val="34086B9E"/>
    <w:rsid w:val="3424694F"/>
    <w:rsid w:val="342F6D32"/>
    <w:rsid w:val="34555684"/>
    <w:rsid w:val="34660FB4"/>
    <w:rsid w:val="346F196C"/>
    <w:rsid w:val="34921202"/>
    <w:rsid w:val="34A01296"/>
    <w:rsid w:val="34A72BC4"/>
    <w:rsid w:val="34AD636D"/>
    <w:rsid w:val="34D35AEF"/>
    <w:rsid w:val="34D37972"/>
    <w:rsid w:val="34D6123A"/>
    <w:rsid w:val="35027278"/>
    <w:rsid w:val="35194A87"/>
    <w:rsid w:val="35441378"/>
    <w:rsid w:val="35533710"/>
    <w:rsid w:val="35616185"/>
    <w:rsid w:val="357E1639"/>
    <w:rsid w:val="35A437E8"/>
    <w:rsid w:val="35AF1A13"/>
    <w:rsid w:val="35B64FD1"/>
    <w:rsid w:val="35CE48BF"/>
    <w:rsid w:val="35D3331D"/>
    <w:rsid w:val="35DF58BF"/>
    <w:rsid w:val="35E4076D"/>
    <w:rsid w:val="35E8647A"/>
    <w:rsid w:val="35F20EA6"/>
    <w:rsid w:val="35F36637"/>
    <w:rsid w:val="35F66BBA"/>
    <w:rsid w:val="36187E47"/>
    <w:rsid w:val="36216BEE"/>
    <w:rsid w:val="36285816"/>
    <w:rsid w:val="362A457F"/>
    <w:rsid w:val="362C2535"/>
    <w:rsid w:val="36471A5E"/>
    <w:rsid w:val="364931EB"/>
    <w:rsid w:val="3667341B"/>
    <w:rsid w:val="36751470"/>
    <w:rsid w:val="36887E64"/>
    <w:rsid w:val="368A2FB4"/>
    <w:rsid w:val="36961ED1"/>
    <w:rsid w:val="36A15210"/>
    <w:rsid w:val="36AB4006"/>
    <w:rsid w:val="36BA5016"/>
    <w:rsid w:val="36BE2266"/>
    <w:rsid w:val="36C02FF5"/>
    <w:rsid w:val="36C8525D"/>
    <w:rsid w:val="36CE2B8B"/>
    <w:rsid w:val="36DA5D27"/>
    <w:rsid w:val="36EE176D"/>
    <w:rsid w:val="37036FE3"/>
    <w:rsid w:val="370749B6"/>
    <w:rsid w:val="37100355"/>
    <w:rsid w:val="37113004"/>
    <w:rsid w:val="371F66C4"/>
    <w:rsid w:val="3723798B"/>
    <w:rsid w:val="3729092C"/>
    <w:rsid w:val="372A115D"/>
    <w:rsid w:val="372A6492"/>
    <w:rsid w:val="37342B76"/>
    <w:rsid w:val="373569A8"/>
    <w:rsid w:val="373A2E6A"/>
    <w:rsid w:val="37714675"/>
    <w:rsid w:val="377B1BC4"/>
    <w:rsid w:val="37866BB7"/>
    <w:rsid w:val="379151F3"/>
    <w:rsid w:val="3792524B"/>
    <w:rsid w:val="37940C52"/>
    <w:rsid w:val="37A30873"/>
    <w:rsid w:val="37A82E6A"/>
    <w:rsid w:val="37C04076"/>
    <w:rsid w:val="37CB48C8"/>
    <w:rsid w:val="37D42753"/>
    <w:rsid w:val="37EB7EF5"/>
    <w:rsid w:val="37FB0B3E"/>
    <w:rsid w:val="381B47D0"/>
    <w:rsid w:val="38274ABD"/>
    <w:rsid w:val="382D1422"/>
    <w:rsid w:val="382D2E19"/>
    <w:rsid w:val="383057ED"/>
    <w:rsid w:val="383651A6"/>
    <w:rsid w:val="384E6F01"/>
    <w:rsid w:val="385E3236"/>
    <w:rsid w:val="38766C47"/>
    <w:rsid w:val="3887059F"/>
    <w:rsid w:val="38880168"/>
    <w:rsid w:val="388F0D9F"/>
    <w:rsid w:val="38922097"/>
    <w:rsid w:val="38D233FA"/>
    <w:rsid w:val="38D43BCE"/>
    <w:rsid w:val="38D5234B"/>
    <w:rsid w:val="38D5710F"/>
    <w:rsid w:val="38EA64E4"/>
    <w:rsid w:val="391C4E68"/>
    <w:rsid w:val="39570EDE"/>
    <w:rsid w:val="39615265"/>
    <w:rsid w:val="39656815"/>
    <w:rsid w:val="397D6F73"/>
    <w:rsid w:val="39802ECC"/>
    <w:rsid w:val="39865E81"/>
    <w:rsid w:val="39926E4B"/>
    <w:rsid w:val="39944C4D"/>
    <w:rsid w:val="39AD28F1"/>
    <w:rsid w:val="39B02129"/>
    <w:rsid w:val="39B8558E"/>
    <w:rsid w:val="39E139DA"/>
    <w:rsid w:val="39FD1B1B"/>
    <w:rsid w:val="3A1320A7"/>
    <w:rsid w:val="3A1530F4"/>
    <w:rsid w:val="3A191CC0"/>
    <w:rsid w:val="3A1A3080"/>
    <w:rsid w:val="3A2B5CE1"/>
    <w:rsid w:val="3A2D2D36"/>
    <w:rsid w:val="3A542EE1"/>
    <w:rsid w:val="3A5C1538"/>
    <w:rsid w:val="3A761F09"/>
    <w:rsid w:val="3A8A0C83"/>
    <w:rsid w:val="3A904241"/>
    <w:rsid w:val="3A95462C"/>
    <w:rsid w:val="3AA3573F"/>
    <w:rsid w:val="3AB80274"/>
    <w:rsid w:val="3AD86362"/>
    <w:rsid w:val="3AE801A7"/>
    <w:rsid w:val="3AEE6745"/>
    <w:rsid w:val="3AF34940"/>
    <w:rsid w:val="3AF51000"/>
    <w:rsid w:val="3AF84B31"/>
    <w:rsid w:val="3B170047"/>
    <w:rsid w:val="3B1834CA"/>
    <w:rsid w:val="3B1E24C8"/>
    <w:rsid w:val="3B206ED8"/>
    <w:rsid w:val="3B3A1E8F"/>
    <w:rsid w:val="3B3F739A"/>
    <w:rsid w:val="3B437BA1"/>
    <w:rsid w:val="3B6B49ED"/>
    <w:rsid w:val="3B753374"/>
    <w:rsid w:val="3B762EC6"/>
    <w:rsid w:val="3B791F2E"/>
    <w:rsid w:val="3B7B29BE"/>
    <w:rsid w:val="3B7D3926"/>
    <w:rsid w:val="3B8B309C"/>
    <w:rsid w:val="3BB723BA"/>
    <w:rsid w:val="3BBA3AFF"/>
    <w:rsid w:val="3BCA1F1C"/>
    <w:rsid w:val="3BCC13D8"/>
    <w:rsid w:val="3BD820FE"/>
    <w:rsid w:val="3BEB58D7"/>
    <w:rsid w:val="3BF8706E"/>
    <w:rsid w:val="3BF94F40"/>
    <w:rsid w:val="3BFE0325"/>
    <w:rsid w:val="3C19096E"/>
    <w:rsid w:val="3C2E346D"/>
    <w:rsid w:val="3C300658"/>
    <w:rsid w:val="3C3B425B"/>
    <w:rsid w:val="3C482649"/>
    <w:rsid w:val="3C620A5E"/>
    <w:rsid w:val="3C6541EF"/>
    <w:rsid w:val="3C744B26"/>
    <w:rsid w:val="3C816E1B"/>
    <w:rsid w:val="3C831660"/>
    <w:rsid w:val="3CBC4692"/>
    <w:rsid w:val="3CDC4055"/>
    <w:rsid w:val="3CDD5498"/>
    <w:rsid w:val="3CEA0930"/>
    <w:rsid w:val="3CF27B95"/>
    <w:rsid w:val="3CFF5A50"/>
    <w:rsid w:val="3D066B35"/>
    <w:rsid w:val="3D3C210D"/>
    <w:rsid w:val="3D575AE9"/>
    <w:rsid w:val="3D5A3B41"/>
    <w:rsid w:val="3D5F5D82"/>
    <w:rsid w:val="3D60278F"/>
    <w:rsid w:val="3D6636D8"/>
    <w:rsid w:val="3D676FE6"/>
    <w:rsid w:val="3D7D68E8"/>
    <w:rsid w:val="3D816473"/>
    <w:rsid w:val="3D936176"/>
    <w:rsid w:val="3DA605F1"/>
    <w:rsid w:val="3DCE4212"/>
    <w:rsid w:val="3DE50A71"/>
    <w:rsid w:val="3DF15DDC"/>
    <w:rsid w:val="3DF43ED5"/>
    <w:rsid w:val="3E0B107A"/>
    <w:rsid w:val="3E1D3429"/>
    <w:rsid w:val="3E297137"/>
    <w:rsid w:val="3E4B5902"/>
    <w:rsid w:val="3E5E47FF"/>
    <w:rsid w:val="3E620DC8"/>
    <w:rsid w:val="3E650593"/>
    <w:rsid w:val="3E684068"/>
    <w:rsid w:val="3E7F51AE"/>
    <w:rsid w:val="3E895706"/>
    <w:rsid w:val="3E9111B3"/>
    <w:rsid w:val="3EA9033A"/>
    <w:rsid w:val="3EAF72E4"/>
    <w:rsid w:val="3EB3388D"/>
    <w:rsid w:val="3F075FB1"/>
    <w:rsid w:val="3F21691D"/>
    <w:rsid w:val="3F227F5D"/>
    <w:rsid w:val="3F257466"/>
    <w:rsid w:val="3F26543B"/>
    <w:rsid w:val="3F2F5A8C"/>
    <w:rsid w:val="3F425D2C"/>
    <w:rsid w:val="3F5B19BB"/>
    <w:rsid w:val="3F674097"/>
    <w:rsid w:val="3F6B0F2F"/>
    <w:rsid w:val="3F6E7226"/>
    <w:rsid w:val="3F7418AC"/>
    <w:rsid w:val="3F7B467C"/>
    <w:rsid w:val="3F7F4BFD"/>
    <w:rsid w:val="3F8534F2"/>
    <w:rsid w:val="3F8D44E0"/>
    <w:rsid w:val="3F8D6CDE"/>
    <w:rsid w:val="3F9C3E7C"/>
    <w:rsid w:val="3FBE27AD"/>
    <w:rsid w:val="3FEB0F5D"/>
    <w:rsid w:val="3FED37A2"/>
    <w:rsid w:val="40097753"/>
    <w:rsid w:val="401041CC"/>
    <w:rsid w:val="40385090"/>
    <w:rsid w:val="403D4075"/>
    <w:rsid w:val="40581609"/>
    <w:rsid w:val="4062552B"/>
    <w:rsid w:val="40762F0A"/>
    <w:rsid w:val="407E641B"/>
    <w:rsid w:val="40825976"/>
    <w:rsid w:val="4084632A"/>
    <w:rsid w:val="40D00C0D"/>
    <w:rsid w:val="40D14D78"/>
    <w:rsid w:val="40F044C9"/>
    <w:rsid w:val="41180D6F"/>
    <w:rsid w:val="41371FE0"/>
    <w:rsid w:val="415C087D"/>
    <w:rsid w:val="41745FFF"/>
    <w:rsid w:val="41774FCB"/>
    <w:rsid w:val="41810899"/>
    <w:rsid w:val="4181283B"/>
    <w:rsid w:val="418271DC"/>
    <w:rsid w:val="418A0B5C"/>
    <w:rsid w:val="418A4C26"/>
    <w:rsid w:val="418F3541"/>
    <w:rsid w:val="418F74C9"/>
    <w:rsid w:val="41901674"/>
    <w:rsid w:val="419874B5"/>
    <w:rsid w:val="41B353F1"/>
    <w:rsid w:val="41BB72F2"/>
    <w:rsid w:val="41C5567C"/>
    <w:rsid w:val="41C94A4A"/>
    <w:rsid w:val="41D4344D"/>
    <w:rsid w:val="41D855AF"/>
    <w:rsid w:val="41E33215"/>
    <w:rsid w:val="41EE0902"/>
    <w:rsid w:val="420D6792"/>
    <w:rsid w:val="42126EA7"/>
    <w:rsid w:val="4220489C"/>
    <w:rsid w:val="42605FC7"/>
    <w:rsid w:val="427E1411"/>
    <w:rsid w:val="427E1440"/>
    <w:rsid w:val="42AF6E21"/>
    <w:rsid w:val="42B61D72"/>
    <w:rsid w:val="42B95478"/>
    <w:rsid w:val="42BC2E3B"/>
    <w:rsid w:val="42D21379"/>
    <w:rsid w:val="42F35F7E"/>
    <w:rsid w:val="4304205B"/>
    <w:rsid w:val="430E6D0F"/>
    <w:rsid w:val="43386CA4"/>
    <w:rsid w:val="433D333A"/>
    <w:rsid w:val="43422211"/>
    <w:rsid w:val="4343018D"/>
    <w:rsid w:val="434C4375"/>
    <w:rsid w:val="434E3D91"/>
    <w:rsid w:val="43605D67"/>
    <w:rsid w:val="436647E4"/>
    <w:rsid w:val="43675D4E"/>
    <w:rsid w:val="436E31A2"/>
    <w:rsid w:val="436E6A85"/>
    <w:rsid w:val="437C39D2"/>
    <w:rsid w:val="438863EE"/>
    <w:rsid w:val="43A94C99"/>
    <w:rsid w:val="43B93CA1"/>
    <w:rsid w:val="43C96CC1"/>
    <w:rsid w:val="43D95A5E"/>
    <w:rsid w:val="43DB681A"/>
    <w:rsid w:val="43E66B2A"/>
    <w:rsid w:val="43EF7DF5"/>
    <w:rsid w:val="43F75428"/>
    <w:rsid w:val="44062A2A"/>
    <w:rsid w:val="44064D7F"/>
    <w:rsid w:val="440F21F4"/>
    <w:rsid w:val="44312509"/>
    <w:rsid w:val="44353309"/>
    <w:rsid w:val="443D5C83"/>
    <w:rsid w:val="444112B7"/>
    <w:rsid w:val="4445734B"/>
    <w:rsid w:val="44486DE6"/>
    <w:rsid w:val="44704880"/>
    <w:rsid w:val="449A2D31"/>
    <w:rsid w:val="44A43AD2"/>
    <w:rsid w:val="44C0317F"/>
    <w:rsid w:val="44CA33E5"/>
    <w:rsid w:val="44CA44C7"/>
    <w:rsid w:val="44CB2B24"/>
    <w:rsid w:val="44D2188E"/>
    <w:rsid w:val="44DB63C4"/>
    <w:rsid w:val="44E63F80"/>
    <w:rsid w:val="44FF12D4"/>
    <w:rsid w:val="4505615F"/>
    <w:rsid w:val="451A08D6"/>
    <w:rsid w:val="451A4504"/>
    <w:rsid w:val="45216D6E"/>
    <w:rsid w:val="45444294"/>
    <w:rsid w:val="454E526B"/>
    <w:rsid w:val="4576199B"/>
    <w:rsid w:val="457F625C"/>
    <w:rsid w:val="45820B72"/>
    <w:rsid w:val="458379B3"/>
    <w:rsid w:val="459B604C"/>
    <w:rsid w:val="459F5856"/>
    <w:rsid w:val="45BB2BD6"/>
    <w:rsid w:val="45BC2771"/>
    <w:rsid w:val="45C86013"/>
    <w:rsid w:val="45CD3D41"/>
    <w:rsid w:val="45E16D57"/>
    <w:rsid w:val="45E83918"/>
    <w:rsid w:val="45F524BA"/>
    <w:rsid w:val="45F85B25"/>
    <w:rsid w:val="45FA5BAF"/>
    <w:rsid w:val="45FD1EC4"/>
    <w:rsid w:val="4606415C"/>
    <w:rsid w:val="460F365D"/>
    <w:rsid w:val="4612589E"/>
    <w:rsid w:val="464C33C7"/>
    <w:rsid w:val="468D25A7"/>
    <w:rsid w:val="46A1326E"/>
    <w:rsid w:val="46A2703C"/>
    <w:rsid w:val="46AD29A2"/>
    <w:rsid w:val="46C07B71"/>
    <w:rsid w:val="46C97019"/>
    <w:rsid w:val="46D11B8F"/>
    <w:rsid w:val="46D202C6"/>
    <w:rsid w:val="46E2491C"/>
    <w:rsid w:val="46EB4D4C"/>
    <w:rsid w:val="46F0402F"/>
    <w:rsid w:val="470A674E"/>
    <w:rsid w:val="470E2853"/>
    <w:rsid w:val="47155653"/>
    <w:rsid w:val="47690EAD"/>
    <w:rsid w:val="476C1FD1"/>
    <w:rsid w:val="477A102B"/>
    <w:rsid w:val="477C3C9F"/>
    <w:rsid w:val="47835FD1"/>
    <w:rsid w:val="47921058"/>
    <w:rsid w:val="47980643"/>
    <w:rsid w:val="47AC64AE"/>
    <w:rsid w:val="47BA20DB"/>
    <w:rsid w:val="47CD4EBC"/>
    <w:rsid w:val="47D34EEE"/>
    <w:rsid w:val="47DC4C30"/>
    <w:rsid w:val="48002186"/>
    <w:rsid w:val="48220C0B"/>
    <w:rsid w:val="48330D0B"/>
    <w:rsid w:val="4844010E"/>
    <w:rsid w:val="48586A3A"/>
    <w:rsid w:val="48620B89"/>
    <w:rsid w:val="4866681E"/>
    <w:rsid w:val="486D67CD"/>
    <w:rsid w:val="486D7B00"/>
    <w:rsid w:val="48834488"/>
    <w:rsid w:val="48874444"/>
    <w:rsid w:val="488E7F90"/>
    <w:rsid w:val="48931C83"/>
    <w:rsid w:val="48951164"/>
    <w:rsid w:val="4896216F"/>
    <w:rsid w:val="48A34403"/>
    <w:rsid w:val="48B61005"/>
    <w:rsid w:val="48B629D0"/>
    <w:rsid w:val="48B65743"/>
    <w:rsid w:val="48B97EB1"/>
    <w:rsid w:val="48C87C34"/>
    <w:rsid w:val="48D045E3"/>
    <w:rsid w:val="48D16CA0"/>
    <w:rsid w:val="48D872F2"/>
    <w:rsid w:val="48DD7098"/>
    <w:rsid w:val="48E65A8C"/>
    <w:rsid w:val="48E873E2"/>
    <w:rsid w:val="48EB5F33"/>
    <w:rsid w:val="48EC0DCC"/>
    <w:rsid w:val="48ED21B1"/>
    <w:rsid w:val="48F56D96"/>
    <w:rsid w:val="490D334D"/>
    <w:rsid w:val="49156D12"/>
    <w:rsid w:val="492A3205"/>
    <w:rsid w:val="49341C2B"/>
    <w:rsid w:val="49346CF1"/>
    <w:rsid w:val="494A309B"/>
    <w:rsid w:val="494B3250"/>
    <w:rsid w:val="494D16C1"/>
    <w:rsid w:val="4959460B"/>
    <w:rsid w:val="49D9493E"/>
    <w:rsid w:val="49E05DCB"/>
    <w:rsid w:val="49F50CB4"/>
    <w:rsid w:val="4A2B1F5C"/>
    <w:rsid w:val="4A9947DA"/>
    <w:rsid w:val="4A997593"/>
    <w:rsid w:val="4AB220B5"/>
    <w:rsid w:val="4ABE07D2"/>
    <w:rsid w:val="4AC01BED"/>
    <w:rsid w:val="4AC1656E"/>
    <w:rsid w:val="4AC24A28"/>
    <w:rsid w:val="4ACA6106"/>
    <w:rsid w:val="4ACB1D0F"/>
    <w:rsid w:val="4ACD1533"/>
    <w:rsid w:val="4AEE194A"/>
    <w:rsid w:val="4AF55326"/>
    <w:rsid w:val="4AF71C76"/>
    <w:rsid w:val="4B12691B"/>
    <w:rsid w:val="4B2249D6"/>
    <w:rsid w:val="4B330DED"/>
    <w:rsid w:val="4B342BB9"/>
    <w:rsid w:val="4B354361"/>
    <w:rsid w:val="4B3C784A"/>
    <w:rsid w:val="4B447281"/>
    <w:rsid w:val="4B4E6196"/>
    <w:rsid w:val="4B592E90"/>
    <w:rsid w:val="4B8A5383"/>
    <w:rsid w:val="4BB340E6"/>
    <w:rsid w:val="4BCD4308"/>
    <w:rsid w:val="4BD732D2"/>
    <w:rsid w:val="4BF859A8"/>
    <w:rsid w:val="4BFD4DB2"/>
    <w:rsid w:val="4C2B4F79"/>
    <w:rsid w:val="4C385A40"/>
    <w:rsid w:val="4C4B3831"/>
    <w:rsid w:val="4C5A5543"/>
    <w:rsid w:val="4C6A698D"/>
    <w:rsid w:val="4C7E62D9"/>
    <w:rsid w:val="4CA321E7"/>
    <w:rsid w:val="4CB63AA4"/>
    <w:rsid w:val="4CB96134"/>
    <w:rsid w:val="4CBA6BE7"/>
    <w:rsid w:val="4CBB7B02"/>
    <w:rsid w:val="4CC45A83"/>
    <w:rsid w:val="4CD00124"/>
    <w:rsid w:val="4CE679D2"/>
    <w:rsid w:val="4CF73AC7"/>
    <w:rsid w:val="4D04433E"/>
    <w:rsid w:val="4D066A1E"/>
    <w:rsid w:val="4D111DEA"/>
    <w:rsid w:val="4D15653E"/>
    <w:rsid w:val="4D1A17B3"/>
    <w:rsid w:val="4D3044C7"/>
    <w:rsid w:val="4D361251"/>
    <w:rsid w:val="4D44774F"/>
    <w:rsid w:val="4D4B58A5"/>
    <w:rsid w:val="4D627203"/>
    <w:rsid w:val="4D66006E"/>
    <w:rsid w:val="4D6C3B9E"/>
    <w:rsid w:val="4D8674BE"/>
    <w:rsid w:val="4D8B066E"/>
    <w:rsid w:val="4D9C209F"/>
    <w:rsid w:val="4DA06A38"/>
    <w:rsid w:val="4DD806AE"/>
    <w:rsid w:val="4DEB5692"/>
    <w:rsid w:val="4DF17B7F"/>
    <w:rsid w:val="4DF62A72"/>
    <w:rsid w:val="4DF71177"/>
    <w:rsid w:val="4E0A7662"/>
    <w:rsid w:val="4E15259A"/>
    <w:rsid w:val="4E163912"/>
    <w:rsid w:val="4E192019"/>
    <w:rsid w:val="4E1C4AEB"/>
    <w:rsid w:val="4E283BF9"/>
    <w:rsid w:val="4E3F2E3C"/>
    <w:rsid w:val="4E7A2E8A"/>
    <w:rsid w:val="4E9373C0"/>
    <w:rsid w:val="4EA6083B"/>
    <w:rsid w:val="4EAB62F0"/>
    <w:rsid w:val="4EC56069"/>
    <w:rsid w:val="4ED75DAE"/>
    <w:rsid w:val="4EE105D0"/>
    <w:rsid w:val="4EFB4E8F"/>
    <w:rsid w:val="4F08177C"/>
    <w:rsid w:val="4F0D4F13"/>
    <w:rsid w:val="4F2C1A89"/>
    <w:rsid w:val="4F2F54B5"/>
    <w:rsid w:val="4F3D05DF"/>
    <w:rsid w:val="4F4F0440"/>
    <w:rsid w:val="4F632DB7"/>
    <w:rsid w:val="4F6828F3"/>
    <w:rsid w:val="4F745890"/>
    <w:rsid w:val="4F7702EF"/>
    <w:rsid w:val="4F7B55C1"/>
    <w:rsid w:val="4F882033"/>
    <w:rsid w:val="4F967CF0"/>
    <w:rsid w:val="4FB140AE"/>
    <w:rsid w:val="4FB76356"/>
    <w:rsid w:val="4FEA2E06"/>
    <w:rsid w:val="4FEF5594"/>
    <w:rsid w:val="4FF6565E"/>
    <w:rsid w:val="500A2552"/>
    <w:rsid w:val="50131C60"/>
    <w:rsid w:val="501723E6"/>
    <w:rsid w:val="50296286"/>
    <w:rsid w:val="502D02A0"/>
    <w:rsid w:val="50396587"/>
    <w:rsid w:val="50486E0E"/>
    <w:rsid w:val="5075104B"/>
    <w:rsid w:val="5075687D"/>
    <w:rsid w:val="507852DF"/>
    <w:rsid w:val="50866AC3"/>
    <w:rsid w:val="508A07B8"/>
    <w:rsid w:val="50900126"/>
    <w:rsid w:val="509C7C29"/>
    <w:rsid w:val="50A32FC8"/>
    <w:rsid w:val="50B614C2"/>
    <w:rsid w:val="50C74476"/>
    <w:rsid w:val="50E41082"/>
    <w:rsid w:val="50F66EF4"/>
    <w:rsid w:val="50F96C4E"/>
    <w:rsid w:val="50FA2CE9"/>
    <w:rsid w:val="5104147F"/>
    <w:rsid w:val="51075C61"/>
    <w:rsid w:val="511835E5"/>
    <w:rsid w:val="51233865"/>
    <w:rsid w:val="51240121"/>
    <w:rsid w:val="512C327D"/>
    <w:rsid w:val="514329D6"/>
    <w:rsid w:val="51663591"/>
    <w:rsid w:val="518D3959"/>
    <w:rsid w:val="51904C47"/>
    <w:rsid w:val="51A5718F"/>
    <w:rsid w:val="51AA5EE3"/>
    <w:rsid w:val="51AC042E"/>
    <w:rsid w:val="51AE2C09"/>
    <w:rsid w:val="51B67C18"/>
    <w:rsid w:val="51BB2F03"/>
    <w:rsid w:val="51C16B27"/>
    <w:rsid w:val="51DD07C4"/>
    <w:rsid w:val="51DF5E42"/>
    <w:rsid w:val="51E92702"/>
    <w:rsid w:val="51EA5164"/>
    <w:rsid w:val="51EE1CAB"/>
    <w:rsid w:val="51EE1CAE"/>
    <w:rsid w:val="52056978"/>
    <w:rsid w:val="520D1F5C"/>
    <w:rsid w:val="521B0709"/>
    <w:rsid w:val="521F5463"/>
    <w:rsid w:val="522C3822"/>
    <w:rsid w:val="523503EF"/>
    <w:rsid w:val="523A7964"/>
    <w:rsid w:val="524B64AA"/>
    <w:rsid w:val="52502DC9"/>
    <w:rsid w:val="52547186"/>
    <w:rsid w:val="526B2DEC"/>
    <w:rsid w:val="527D67A7"/>
    <w:rsid w:val="52AF3F38"/>
    <w:rsid w:val="52B33948"/>
    <w:rsid w:val="52C93BBE"/>
    <w:rsid w:val="52D05D9C"/>
    <w:rsid w:val="52DF5A77"/>
    <w:rsid w:val="530715FB"/>
    <w:rsid w:val="53297E57"/>
    <w:rsid w:val="533F38E7"/>
    <w:rsid w:val="53420089"/>
    <w:rsid w:val="534C79BB"/>
    <w:rsid w:val="537D23DD"/>
    <w:rsid w:val="5384469F"/>
    <w:rsid w:val="53871AB1"/>
    <w:rsid w:val="538D6A67"/>
    <w:rsid w:val="539802F4"/>
    <w:rsid w:val="539D2ACB"/>
    <w:rsid w:val="53A74C89"/>
    <w:rsid w:val="53C12731"/>
    <w:rsid w:val="53CF5237"/>
    <w:rsid w:val="53D20731"/>
    <w:rsid w:val="53D224D9"/>
    <w:rsid w:val="53E27E4A"/>
    <w:rsid w:val="53E355BF"/>
    <w:rsid w:val="53E8282F"/>
    <w:rsid w:val="53E857A6"/>
    <w:rsid w:val="53F86054"/>
    <w:rsid w:val="54084368"/>
    <w:rsid w:val="54174D5D"/>
    <w:rsid w:val="543B76CE"/>
    <w:rsid w:val="54441F03"/>
    <w:rsid w:val="5458604D"/>
    <w:rsid w:val="545B4B40"/>
    <w:rsid w:val="54684A59"/>
    <w:rsid w:val="546F42E0"/>
    <w:rsid w:val="54735790"/>
    <w:rsid w:val="54805AA2"/>
    <w:rsid w:val="54881F94"/>
    <w:rsid w:val="54921106"/>
    <w:rsid w:val="54954EAC"/>
    <w:rsid w:val="549D7DE1"/>
    <w:rsid w:val="549E4A99"/>
    <w:rsid w:val="54A00AB1"/>
    <w:rsid w:val="54B03A20"/>
    <w:rsid w:val="54B93795"/>
    <w:rsid w:val="54E462F6"/>
    <w:rsid w:val="54F54AD8"/>
    <w:rsid w:val="550875D8"/>
    <w:rsid w:val="550C5474"/>
    <w:rsid w:val="55100448"/>
    <w:rsid w:val="55294FFC"/>
    <w:rsid w:val="552C5FEB"/>
    <w:rsid w:val="553B448E"/>
    <w:rsid w:val="553D1974"/>
    <w:rsid w:val="554057BF"/>
    <w:rsid w:val="554376C8"/>
    <w:rsid w:val="554B2788"/>
    <w:rsid w:val="554E0A19"/>
    <w:rsid w:val="554F0D7B"/>
    <w:rsid w:val="55564942"/>
    <w:rsid w:val="55605D8B"/>
    <w:rsid w:val="55656CD2"/>
    <w:rsid w:val="556A2415"/>
    <w:rsid w:val="557263B3"/>
    <w:rsid w:val="5575623A"/>
    <w:rsid w:val="55792873"/>
    <w:rsid w:val="557A3FBC"/>
    <w:rsid w:val="5582442D"/>
    <w:rsid w:val="558D6B82"/>
    <w:rsid w:val="55943888"/>
    <w:rsid w:val="559F786F"/>
    <w:rsid w:val="55AD28F4"/>
    <w:rsid w:val="55AE5163"/>
    <w:rsid w:val="55B62F64"/>
    <w:rsid w:val="55BD4F0C"/>
    <w:rsid w:val="55D01BC1"/>
    <w:rsid w:val="55E32F66"/>
    <w:rsid w:val="560010ED"/>
    <w:rsid w:val="560A1E7A"/>
    <w:rsid w:val="560C20A5"/>
    <w:rsid w:val="562E13B9"/>
    <w:rsid w:val="56312196"/>
    <w:rsid w:val="56353E08"/>
    <w:rsid w:val="56362C3B"/>
    <w:rsid w:val="564B4F61"/>
    <w:rsid w:val="56506BA6"/>
    <w:rsid w:val="565D32EE"/>
    <w:rsid w:val="56682B4C"/>
    <w:rsid w:val="5668633D"/>
    <w:rsid w:val="566D65BC"/>
    <w:rsid w:val="56707213"/>
    <w:rsid w:val="5677517B"/>
    <w:rsid w:val="56882964"/>
    <w:rsid w:val="568E5C2E"/>
    <w:rsid w:val="56946918"/>
    <w:rsid w:val="56A05E75"/>
    <w:rsid w:val="56BD4880"/>
    <w:rsid w:val="56C210AA"/>
    <w:rsid w:val="56D13A0A"/>
    <w:rsid w:val="56D20120"/>
    <w:rsid w:val="56D20AA8"/>
    <w:rsid w:val="56D57F50"/>
    <w:rsid w:val="56EC6164"/>
    <w:rsid w:val="57023C45"/>
    <w:rsid w:val="5713500C"/>
    <w:rsid w:val="5720074D"/>
    <w:rsid w:val="57243036"/>
    <w:rsid w:val="573336BE"/>
    <w:rsid w:val="573B06C9"/>
    <w:rsid w:val="575D3CB3"/>
    <w:rsid w:val="577B6220"/>
    <w:rsid w:val="577C648F"/>
    <w:rsid w:val="579E3D52"/>
    <w:rsid w:val="57B27112"/>
    <w:rsid w:val="57B738E0"/>
    <w:rsid w:val="57BC7E22"/>
    <w:rsid w:val="57CA6B58"/>
    <w:rsid w:val="57D3757D"/>
    <w:rsid w:val="57DD4CF2"/>
    <w:rsid w:val="57FF37AB"/>
    <w:rsid w:val="581663A7"/>
    <w:rsid w:val="585144AA"/>
    <w:rsid w:val="58567D64"/>
    <w:rsid w:val="586578BF"/>
    <w:rsid w:val="58730A21"/>
    <w:rsid w:val="587A70C6"/>
    <w:rsid w:val="588D7EB4"/>
    <w:rsid w:val="589947D3"/>
    <w:rsid w:val="58A75020"/>
    <w:rsid w:val="58C0349D"/>
    <w:rsid w:val="58C94687"/>
    <w:rsid w:val="58F7247A"/>
    <w:rsid w:val="590413BD"/>
    <w:rsid w:val="5919795C"/>
    <w:rsid w:val="59232537"/>
    <w:rsid w:val="592F245D"/>
    <w:rsid w:val="593D3B58"/>
    <w:rsid w:val="59440619"/>
    <w:rsid w:val="59570C35"/>
    <w:rsid w:val="596326A9"/>
    <w:rsid w:val="59700257"/>
    <w:rsid w:val="59724E0E"/>
    <w:rsid w:val="597252E0"/>
    <w:rsid w:val="59830A4E"/>
    <w:rsid w:val="59907A1F"/>
    <w:rsid w:val="599101A7"/>
    <w:rsid w:val="5993497F"/>
    <w:rsid w:val="59AF271B"/>
    <w:rsid w:val="59C00CFC"/>
    <w:rsid w:val="59D216F2"/>
    <w:rsid w:val="59D83C47"/>
    <w:rsid w:val="59D959D8"/>
    <w:rsid w:val="59DA2275"/>
    <w:rsid w:val="59DE34E6"/>
    <w:rsid w:val="59E01845"/>
    <w:rsid w:val="59E1260A"/>
    <w:rsid w:val="59E505F7"/>
    <w:rsid w:val="59E75D47"/>
    <w:rsid w:val="59E90380"/>
    <w:rsid w:val="59FF00D1"/>
    <w:rsid w:val="5A1560F8"/>
    <w:rsid w:val="5A1F739C"/>
    <w:rsid w:val="5A20482B"/>
    <w:rsid w:val="5A297734"/>
    <w:rsid w:val="5A4433AC"/>
    <w:rsid w:val="5A4F57C5"/>
    <w:rsid w:val="5A4F5EE1"/>
    <w:rsid w:val="5A593148"/>
    <w:rsid w:val="5A604B4C"/>
    <w:rsid w:val="5A620DD5"/>
    <w:rsid w:val="5A6E5F01"/>
    <w:rsid w:val="5A7F23D0"/>
    <w:rsid w:val="5A89045B"/>
    <w:rsid w:val="5A947631"/>
    <w:rsid w:val="5A9F1F6A"/>
    <w:rsid w:val="5AAE1E87"/>
    <w:rsid w:val="5ACF442D"/>
    <w:rsid w:val="5AD87740"/>
    <w:rsid w:val="5AE67D49"/>
    <w:rsid w:val="5AEC2ADA"/>
    <w:rsid w:val="5AED24DD"/>
    <w:rsid w:val="5AF2382A"/>
    <w:rsid w:val="5AF43314"/>
    <w:rsid w:val="5B0604A3"/>
    <w:rsid w:val="5B1223E2"/>
    <w:rsid w:val="5B162801"/>
    <w:rsid w:val="5B247BFB"/>
    <w:rsid w:val="5B585CC5"/>
    <w:rsid w:val="5B5B6C7F"/>
    <w:rsid w:val="5B5F167F"/>
    <w:rsid w:val="5B8E3166"/>
    <w:rsid w:val="5B903475"/>
    <w:rsid w:val="5B982E7E"/>
    <w:rsid w:val="5B9B660C"/>
    <w:rsid w:val="5BD1505A"/>
    <w:rsid w:val="5BD92BA9"/>
    <w:rsid w:val="5BDD29C3"/>
    <w:rsid w:val="5C1202F0"/>
    <w:rsid w:val="5C15137F"/>
    <w:rsid w:val="5C17089D"/>
    <w:rsid w:val="5C18679F"/>
    <w:rsid w:val="5C1E0DBA"/>
    <w:rsid w:val="5C3768BF"/>
    <w:rsid w:val="5C4A6360"/>
    <w:rsid w:val="5C752E46"/>
    <w:rsid w:val="5C784ED3"/>
    <w:rsid w:val="5C7D4D78"/>
    <w:rsid w:val="5C8046F6"/>
    <w:rsid w:val="5C812DA3"/>
    <w:rsid w:val="5C81304B"/>
    <w:rsid w:val="5C851DC2"/>
    <w:rsid w:val="5C916F38"/>
    <w:rsid w:val="5CA55250"/>
    <w:rsid w:val="5CBA2E24"/>
    <w:rsid w:val="5CBE4851"/>
    <w:rsid w:val="5CBF7942"/>
    <w:rsid w:val="5CD80A4C"/>
    <w:rsid w:val="5CF22A1A"/>
    <w:rsid w:val="5CF3304A"/>
    <w:rsid w:val="5CF97C9E"/>
    <w:rsid w:val="5D0C1414"/>
    <w:rsid w:val="5D147912"/>
    <w:rsid w:val="5D1A687B"/>
    <w:rsid w:val="5D264FF5"/>
    <w:rsid w:val="5D27538E"/>
    <w:rsid w:val="5D2A7616"/>
    <w:rsid w:val="5D60610D"/>
    <w:rsid w:val="5D677934"/>
    <w:rsid w:val="5D701A55"/>
    <w:rsid w:val="5D747EB4"/>
    <w:rsid w:val="5D760E05"/>
    <w:rsid w:val="5D862A93"/>
    <w:rsid w:val="5D867492"/>
    <w:rsid w:val="5D8F3E02"/>
    <w:rsid w:val="5D9126BE"/>
    <w:rsid w:val="5DAD66F9"/>
    <w:rsid w:val="5DAF334A"/>
    <w:rsid w:val="5DD07EF8"/>
    <w:rsid w:val="5DD15393"/>
    <w:rsid w:val="5E087EA2"/>
    <w:rsid w:val="5E0D67C6"/>
    <w:rsid w:val="5E2775CA"/>
    <w:rsid w:val="5E294315"/>
    <w:rsid w:val="5E295856"/>
    <w:rsid w:val="5E330F25"/>
    <w:rsid w:val="5E35132D"/>
    <w:rsid w:val="5E49038C"/>
    <w:rsid w:val="5E4A1687"/>
    <w:rsid w:val="5E4E124A"/>
    <w:rsid w:val="5E6E2F82"/>
    <w:rsid w:val="5E841F6A"/>
    <w:rsid w:val="5E860060"/>
    <w:rsid w:val="5E8732C3"/>
    <w:rsid w:val="5EA5785A"/>
    <w:rsid w:val="5EB75779"/>
    <w:rsid w:val="5EC030D5"/>
    <w:rsid w:val="5EC824A5"/>
    <w:rsid w:val="5ECD663E"/>
    <w:rsid w:val="5ED358B4"/>
    <w:rsid w:val="5ED744EA"/>
    <w:rsid w:val="5EDC1150"/>
    <w:rsid w:val="5EE24C8F"/>
    <w:rsid w:val="5EE509E9"/>
    <w:rsid w:val="5F054905"/>
    <w:rsid w:val="5F127126"/>
    <w:rsid w:val="5F133281"/>
    <w:rsid w:val="5F196D78"/>
    <w:rsid w:val="5F221B23"/>
    <w:rsid w:val="5F2B03F6"/>
    <w:rsid w:val="5F357F56"/>
    <w:rsid w:val="5F407373"/>
    <w:rsid w:val="5F437782"/>
    <w:rsid w:val="5F462070"/>
    <w:rsid w:val="5F494C21"/>
    <w:rsid w:val="5F4C1967"/>
    <w:rsid w:val="5F4C40F2"/>
    <w:rsid w:val="5F675362"/>
    <w:rsid w:val="5F76465B"/>
    <w:rsid w:val="5F7E19A1"/>
    <w:rsid w:val="5F881135"/>
    <w:rsid w:val="5F8D0E05"/>
    <w:rsid w:val="5F991BCB"/>
    <w:rsid w:val="5FBF59B7"/>
    <w:rsid w:val="5FD21CA0"/>
    <w:rsid w:val="5FD81733"/>
    <w:rsid w:val="5FDE2E8C"/>
    <w:rsid w:val="5FE32071"/>
    <w:rsid w:val="5FED15CB"/>
    <w:rsid w:val="600B6F9E"/>
    <w:rsid w:val="600F0E40"/>
    <w:rsid w:val="60204443"/>
    <w:rsid w:val="602A71DA"/>
    <w:rsid w:val="60377C74"/>
    <w:rsid w:val="60481217"/>
    <w:rsid w:val="605806CA"/>
    <w:rsid w:val="6075208D"/>
    <w:rsid w:val="60802E35"/>
    <w:rsid w:val="60811FD8"/>
    <w:rsid w:val="60AB25C5"/>
    <w:rsid w:val="60AF1513"/>
    <w:rsid w:val="60B011C0"/>
    <w:rsid w:val="60B17A56"/>
    <w:rsid w:val="60BB7B96"/>
    <w:rsid w:val="60CC596E"/>
    <w:rsid w:val="60D41389"/>
    <w:rsid w:val="60DC22DF"/>
    <w:rsid w:val="60E440E4"/>
    <w:rsid w:val="60FA79C1"/>
    <w:rsid w:val="61164D5D"/>
    <w:rsid w:val="6117553F"/>
    <w:rsid w:val="611F628F"/>
    <w:rsid w:val="61213386"/>
    <w:rsid w:val="612A5441"/>
    <w:rsid w:val="612D4D44"/>
    <w:rsid w:val="613971FF"/>
    <w:rsid w:val="613A49B3"/>
    <w:rsid w:val="613C7AC2"/>
    <w:rsid w:val="6152509D"/>
    <w:rsid w:val="615A6011"/>
    <w:rsid w:val="61624B79"/>
    <w:rsid w:val="617504E6"/>
    <w:rsid w:val="617812D0"/>
    <w:rsid w:val="618B5C3B"/>
    <w:rsid w:val="6194428A"/>
    <w:rsid w:val="61A20BAF"/>
    <w:rsid w:val="61A8370C"/>
    <w:rsid w:val="61AC7C3E"/>
    <w:rsid w:val="61C544D0"/>
    <w:rsid w:val="61CA71FC"/>
    <w:rsid w:val="61D12A7D"/>
    <w:rsid w:val="61DD6C29"/>
    <w:rsid w:val="61DD7269"/>
    <w:rsid w:val="61DE687D"/>
    <w:rsid w:val="61F26A42"/>
    <w:rsid w:val="62015914"/>
    <w:rsid w:val="6224074C"/>
    <w:rsid w:val="62297593"/>
    <w:rsid w:val="62327D52"/>
    <w:rsid w:val="623D4244"/>
    <w:rsid w:val="62416372"/>
    <w:rsid w:val="62515E8E"/>
    <w:rsid w:val="626224AE"/>
    <w:rsid w:val="62653928"/>
    <w:rsid w:val="62687C0A"/>
    <w:rsid w:val="62720BC1"/>
    <w:rsid w:val="628163C7"/>
    <w:rsid w:val="628D67FA"/>
    <w:rsid w:val="62A86E8C"/>
    <w:rsid w:val="62B014DC"/>
    <w:rsid w:val="62D408AA"/>
    <w:rsid w:val="62D9620C"/>
    <w:rsid w:val="62E42049"/>
    <w:rsid w:val="62F2073B"/>
    <w:rsid w:val="63083357"/>
    <w:rsid w:val="63095298"/>
    <w:rsid w:val="63133A2F"/>
    <w:rsid w:val="63171A8A"/>
    <w:rsid w:val="63191FA4"/>
    <w:rsid w:val="631955AD"/>
    <w:rsid w:val="631D0B61"/>
    <w:rsid w:val="633C78BB"/>
    <w:rsid w:val="63425F59"/>
    <w:rsid w:val="63505013"/>
    <w:rsid w:val="6356637E"/>
    <w:rsid w:val="635B50A6"/>
    <w:rsid w:val="635F3E6C"/>
    <w:rsid w:val="638D42C0"/>
    <w:rsid w:val="63A855E8"/>
    <w:rsid w:val="63B0726B"/>
    <w:rsid w:val="63D0326A"/>
    <w:rsid w:val="63F97AA8"/>
    <w:rsid w:val="63FA3F48"/>
    <w:rsid w:val="640004A6"/>
    <w:rsid w:val="64074D44"/>
    <w:rsid w:val="64075F2E"/>
    <w:rsid w:val="641369A5"/>
    <w:rsid w:val="64174B6B"/>
    <w:rsid w:val="641B5F92"/>
    <w:rsid w:val="6422650A"/>
    <w:rsid w:val="64235DFF"/>
    <w:rsid w:val="64390D60"/>
    <w:rsid w:val="64394F75"/>
    <w:rsid w:val="643F472E"/>
    <w:rsid w:val="644E07D9"/>
    <w:rsid w:val="645719A3"/>
    <w:rsid w:val="646025F0"/>
    <w:rsid w:val="646356FB"/>
    <w:rsid w:val="646A5E54"/>
    <w:rsid w:val="648116BE"/>
    <w:rsid w:val="64983E35"/>
    <w:rsid w:val="649B4103"/>
    <w:rsid w:val="649F1E2A"/>
    <w:rsid w:val="64A57EA9"/>
    <w:rsid w:val="64BD0DE2"/>
    <w:rsid w:val="64E333A8"/>
    <w:rsid w:val="64EA733A"/>
    <w:rsid w:val="64EB1253"/>
    <w:rsid w:val="650906B2"/>
    <w:rsid w:val="650E29E3"/>
    <w:rsid w:val="651725E2"/>
    <w:rsid w:val="65381046"/>
    <w:rsid w:val="65405E19"/>
    <w:rsid w:val="654D2F79"/>
    <w:rsid w:val="65617866"/>
    <w:rsid w:val="6570194C"/>
    <w:rsid w:val="65741253"/>
    <w:rsid w:val="657933B4"/>
    <w:rsid w:val="658629E2"/>
    <w:rsid w:val="65886C35"/>
    <w:rsid w:val="65892994"/>
    <w:rsid w:val="65AC7D2D"/>
    <w:rsid w:val="65B33A17"/>
    <w:rsid w:val="65CE50BB"/>
    <w:rsid w:val="65D74D65"/>
    <w:rsid w:val="65DC221B"/>
    <w:rsid w:val="65DD4A5C"/>
    <w:rsid w:val="65ED1249"/>
    <w:rsid w:val="65FE6126"/>
    <w:rsid w:val="66026916"/>
    <w:rsid w:val="66162D18"/>
    <w:rsid w:val="66196874"/>
    <w:rsid w:val="66196EAD"/>
    <w:rsid w:val="661D6420"/>
    <w:rsid w:val="66242FDE"/>
    <w:rsid w:val="66322AB5"/>
    <w:rsid w:val="663B0316"/>
    <w:rsid w:val="664956ED"/>
    <w:rsid w:val="66647507"/>
    <w:rsid w:val="667E00F5"/>
    <w:rsid w:val="668652F7"/>
    <w:rsid w:val="668C6CE7"/>
    <w:rsid w:val="66900CCE"/>
    <w:rsid w:val="66910EB8"/>
    <w:rsid w:val="6694063C"/>
    <w:rsid w:val="66972D8E"/>
    <w:rsid w:val="66B37847"/>
    <w:rsid w:val="66BD4C82"/>
    <w:rsid w:val="66D9632C"/>
    <w:rsid w:val="66E63A20"/>
    <w:rsid w:val="66F76FD0"/>
    <w:rsid w:val="66F9395F"/>
    <w:rsid w:val="67044237"/>
    <w:rsid w:val="670D1283"/>
    <w:rsid w:val="671B3C27"/>
    <w:rsid w:val="67292B3C"/>
    <w:rsid w:val="673253D5"/>
    <w:rsid w:val="673C344F"/>
    <w:rsid w:val="6755674D"/>
    <w:rsid w:val="67586A9B"/>
    <w:rsid w:val="675B57F5"/>
    <w:rsid w:val="675F2A05"/>
    <w:rsid w:val="676207E2"/>
    <w:rsid w:val="676A6E3A"/>
    <w:rsid w:val="676F77C9"/>
    <w:rsid w:val="67774242"/>
    <w:rsid w:val="6791215B"/>
    <w:rsid w:val="67993ACA"/>
    <w:rsid w:val="67995BDF"/>
    <w:rsid w:val="67AC4122"/>
    <w:rsid w:val="67BC5B96"/>
    <w:rsid w:val="67BF0592"/>
    <w:rsid w:val="67C3489F"/>
    <w:rsid w:val="67CF5883"/>
    <w:rsid w:val="67D2542E"/>
    <w:rsid w:val="67D72703"/>
    <w:rsid w:val="67D82FEC"/>
    <w:rsid w:val="67F750D2"/>
    <w:rsid w:val="67FF6FE0"/>
    <w:rsid w:val="680E4D2C"/>
    <w:rsid w:val="68363F74"/>
    <w:rsid w:val="683659CB"/>
    <w:rsid w:val="684B46A6"/>
    <w:rsid w:val="684D303D"/>
    <w:rsid w:val="685A4162"/>
    <w:rsid w:val="68767581"/>
    <w:rsid w:val="6884668C"/>
    <w:rsid w:val="6888364F"/>
    <w:rsid w:val="689641FE"/>
    <w:rsid w:val="68A3215E"/>
    <w:rsid w:val="68BC7C3A"/>
    <w:rsid w:val="68C07C6D"/>
    <w:rsid w:val="68EE5FF6"/>
    <w:rsid w:val="68F11B06"/>
    <w:rsid w:val="68F12C0F"/>
    <w:rsid w:val="68F13CC7"/>
    <w:rsid w:val="68F3235D"/>
    <w:rsid w:val="69036D2A"/>
    <w:rsid w:val="69044E32"/>
    <w:rsid w:val="69060615"/>
    <w:rsid w:val="690A435D"/>
    <w:rsid w:val="692E19FD"/>
    <w:rsid w:val="6949404D"/>
    <w:rsid w:val="695A62A9"/>
    <w:rsid w:val="696E4DB1"/>
    <w:rsid w:val="69831A73"/>
    <w:rsid w:val="69833B52"/>
    <w:rsid w:val="69840A36"/>
    <w:rsid w:val="698C6058"/>
    <w:rsid w:val="69976019"/>
    <w:rsid w:val="69A60CBC"/>
    <w:rsid w:val="69B339A6"/>
    <w:rsid w:val="69B665F3"/>
    <w:rsid w:val="69C932A9"/>
    <w:rsid w:val="69DC4528"/>
    <w:rsid w:val="6A063C23"/>
    <w:rsid w:val="6A0B175E"/>
    <w:rsid w:val="6A1874E7"/>
    <w:rsid w:val="6A282B66"/>
    <w:rsid w:val="6A2C7939"/>
    <w:rsid w:val="6A2F393C"/>
    <w:rsid w:val="6A2F4319"/>
    <w:rsid w:val="6A527D31"/>
    <w:rsid w:val="6A5705B3"/>
    <w:rsid w:val="6A6E1B96"/>
    <w:rsid w:val="6A732C43"/>
    <w:rsid w:val="6A920AE0"/>
    <w:rsid w:val="6ABB3B40"/>
    <w:rsid w:val="6AC93F8C"/>
    <w:rsid w:val="6AD1121C"/>
    <w:rsid w:val="6ADB2ADD"/>
    <w:rsid w:val="6AF666D5"/>
    <w:rsid w:val="6B2E7032"/>
    <w:rsid w:val="6B3413B3"/>
    <w:rsid w:val="6B537D47"/>
    <w:rsid w:val="6B60464B"/>
    <w:rsid w:val="6B681EB2"/>
    <w:rsid w:val="6B696FA9"/>
    <w:rsid w:val="6B741DC4"/>
    <w:rsid w:val="6B7C7DA8"/>
    <w:rsid w:val="6B80359D"/>
    <w:rsid w:val="6BA63872"/>
    <w:rsid w:val="6BC80A7B"/>
    <w:rsid w:val="6BDE3149"/>
    <w:rsid w:val="6BE115FE"/>
    <w:rsid w:val="6BFD6BB7"/>
    <w:rsid w:val="6C026D64"/>
    <w:rsid w:val="6C0E6B4D"/>
    <w:rsid w:val="6C34211A"/>
    <w:rsid w:val="6C3727E2"/>
    <w:rsid w:val="6C3F714D"/>
    <w:rsid w:val="6C6B5BD5"/>
    <w:rsid w:val="6C8A1950"/>
    <w:rsid w:val="6C8A288A"/>
    <w:rsid w:val="6C917384"/>
    <w:rsid w:val="6C991D5D"/>
    <w:rsid w:val="6CB16C1F"/>
    <w:rsid w:val="6CB7341A"/>
    <w:rsid w:val="6CBE000E"/>
    <w:rsid w:val="6CC7229D"/>
    <w:rsid w:val="6CD6702A"/>
    <w:rsid w:val="6CDA72FE"/>
    <w:rsid w:val="6CE756D0"/>
    <w:rsid w:val="6D06792F"/>
    <w:rsid w:val="6D0A162F"/>
    <w:rsid w:val="6D1906F5"/>
    <w:rsid w:val="6D192E27"/>
    <w:rsid w:val="6D232C90"/>
    <w:rsid w:val="6D2D1A8D"/>
    <w:rsid w:val="6D3E2D99"/>
    <w:rsid w:val="6D452634"/>
    <w:rsid w:val="6D4B68EC"/>
    <w:rsid w:val="6D5C627B"/>
    <w:rsid w:val="6D681EA4"/>
    <w:rsid w:val="6D750F93"/>
    <w:rsid w:val="6D77432C"/>
    <w:rsid w:val="6D7D1AC3"/>
    <w:rsid w:val="6D815C50"/>
    <w:rsid w:val="6DB32EBA"/>
    <w:rsid w:val="6DBA7E68"/>
    <w:rsid w:val="6DBF0696"/>
    <w:rsid w:val="6DD05B97"/>
    <w:rsid w:val="6DD23DE9"/>
    <w:rsid w:val="6DD62CFA"/>
    <w:rsid w:val="6DE16B73"/>
    <w:rsid w:val="6DE61C05"/>
    <w:rsid w:val="6DEC5AC7"/>
    <w:rsid w:val="6E02368D"/>
    <w:rsid w:val="6E236350"/>
    <w:rsid w:val="6E2573F2"/>
    <w:rsid w:val="6E353B30"/>
    <w:rsid w:val="6E353E42"/>
    <w:rsid w:val="6E447E57"/>
    <w:rsid w:val="6E4A2B2A"/>
    <w:rsid w:val="6E7A5781"/>
    <w:rsid w:val="6EB03D25"/>
    <w:rsid w:val="6EC20E5D"/>
    <w:rsid w:val="6EC26FD9"/>
    <w:rsid w:val="6EC67286"/>
    <w:rsid w:val="6ED44793"/>
    <w:rsid w:val="6ED7763C"/>
    <w:rsid w:val="6EDB1E15"/>
    <w:rsid w:val="6EE575C0"/>
    <w:rsid w:val="6EEC225F"/>
    <w:rsid w:val="6EF632B9"/>
    <w:rsid w:val="6EFC3116"/>
    <w:rsid w:val="6F0303A8"/>
    <w:rsid w:val="6F0C63D7"/>
    <w:rsid w:val="6F0E6EA0"/>
    <w:rsid w:val="6F0E7B8B"/>
    <w:rsid w:val="6F276BB0"/>
    <w:rsid w:val="6F3B5656"/>
    <w:rsid w:val="6F4A06CE"/>
    <w:rsid w:val="6F6408C5"/>
    <w:rsid w:val="6F653AC8"/>
    <w:rsid w:val="6F6A4079"/>
    <w:rsid w:val="6F6F34A0"/>
    <w:rsid w:val="6F8A5F78"/>
    <w:rsid w:val="6FA70BA7"/>
    <w:rsid w:val="6FA73D05"/>
    <w:rsid w:val="6FAF1C9C"/>
    <w:rsid w:val="6FBD44AB"/>
    <w:rsid w:val="6FC61949"/>
    <w:rsid w:val="6FCE771B"/>
    <w:rsid w:val="6FD14A24"/>
    <w:rsid w:val="6FD80473"/>
    <w:rsid w:val="6FE0254F"/>
    <w:rsid w:val="6FE66281"/>
    <w:rsid w:val="6FE82829"/>
    <w:rsid w:val="6FF80816"/>
    <w:rsid w:val="700C4781"/>
    <w:rsid w:val="70105602"/>
    <w:rsid w:val="701168CC"/>
    <w:rsid w:val="70134DF9"/>
    <w:rsid w:val="702A21C5"/>
    <w:rsid w:val="702E56D9"/>
    <w:rsid w:val="703B4AA7"/>
    <w:rsid w:val="705642DC"/>
    <w:rsid w:val="7062438A"/>
    <w:rsid w:val="70B87F99"/>
    <w:rsid w:val="70C06311"/>
    <w:rsid w:val="70C37DFF"/>
    <w:rsid w:val="70C96CF0"/>
    <w:rsid w:val="70D1148B"/>
    <w:rsid w:val="70DC51AC"/>
    <w:rsid w:val="70F72D6E"/>
    <w:rsid w:val="71154DE5"/>
    <w:rsid w:val="712F05D2"/>
    <w:rsid w:val="712F4884"/>
    <w:rsid w:val="7130470C"/>
    <w:rsid w:val="71431E1E"/>
    <w:rsid w:val="714A575C"/>
    <w:rsid w:val="714D5498"/>
    <w:rsid w:val="71532FE3"/>
    <w:rsid w:val="7177447D"/>
    <w:rsid w:val="71942565"/>
    <w:rsid w:val="71956D10"/>
    <w:rsid w:val="719E1803"/>
    <w:rsid w:val="71D01A82"/>
    <w:rsid w:val="71D91572"/>
    <w:rsid w:val="71E329B9"/>
    <w:rsid w:val="71E36CE7"/>
    <w:rsid w:val="71F16E28"/>
    <w:rsid w:val="721459A1"/>
    <w:rsid w:val="723D7D7D"/>
    <w:rsid w:val="724A5D81"/>
    <w:rsid w:val="72516EA0"/>
    <w:rsid w:val="725D01F5"/>
    <w:rsid w:val="728576DC"/>
    <w:rsid w:val="72A41103"/>
    <w:rsid w:val="72C20714"/>
    <w:rsid w:val="72C96AFD"/>
    <w:rsid w:val="72C96D9C"/>
    <w:rsid w:val="72F36F06"/>
    <w:rsid w:val="72F42BA6"/>
    <w:rsid w:val="72FA494D"/>
    <w:rsid w:val="730243B3"/>
    <w:rsid w:val="7321765C"/>
    <w:rsid w:val="73337CF8"/>
    <w:rsid w:val="73391467"/>
    <w:rsid w:val="734202CC"/>
    <w:rsid w:val="736173E3"/>
    <w:rsid w:val="736C3816"/>
    <w:rsid w:val="736E68EE"/>
    <w:rsid w:val="736F76A9"/>
    <w:rsid w:val="73702680"/>
    <w:rsid w:val="73721F07"/>
    <w:rsid w:val="737D693A"/>
    <w:rsid w:val="73872ED1"/>
    <w:rsid w:val="73992BDC"/>
    <w:rsid w:val="73A47EFB"/>
    <w:rsid w:val="73AA0B80"/>
    <w:rsid w:val="73BD0ECB"/>
    <w:rsid w:val="73C42BD2"/>
    <w:rsid w:val="73C4341B"/>
    <w:rsid w:val="73D87220"/>
    <w:rsid w:val="73E16E48"/>
    <w:rsid w:val="73F77ED0"/>
    <w:rsid w:val="73FD1FE1"/>
    <w:rsid w:val="741920B7"/>
    <w:rsid w:val="74274051"/>
    <w:rsid w:val="74394C16"/>
    <w:rsid w:val="744C4300"/>
    <w:rsid w:val="74522ADD"/>
    <w:rsid w:val="74697489"/>
    <w:rsid w:val="74885903"/>
    <w:rsid w:val="74A305F8"/>
    <w:rsid w:val="74AE732D"/>
    <w:rsid w:val="74E21D75"/>
    <w:rsid w:val="74EA7314"/>
    <w:rsid w:val="750E6F22"/>
    <w:rsid w:val="751E3863"/>
    <w:rsid w:val="752A213B"/>
    <w:rsid w:val="752D76AD"/>
    <w:rsid w:val="75322F2D"/>
    <w:rsid w:val="75367523"/>
    <w:rsid w:val="753B0AEC"/>
    <w:rsid w:val="753E466F"/>
    <w:rsid w:val="753E4AFA"/>
    <w:rsid w:val="754D1042"/>
    <w:rsid w:val="7552701E"/>
    <w:rsid w:val="757C09D4"/>
    <w:rsid w:val="75A77B96"/>
    <w:rsid w:val="75D65EDE"/>
    <w:rsid w:val="75D82A72"/>
    <w:rsid w:val="75E0573C"/>
    <w:rsid w:val="75E746A2"/>
    <w:rsid w:val="75F23D58"/>
    <w:rsid w:val="75F26586"/>
    <w:rsid w:val="75F87521"/>
    <w:rsid w:val="75FA0B70"/>
    <w:rsid w:val="75FC11D4"/>
    <w:rsid w:val="76047A8D"/>
    <w:rsid w:val="760E6B9C"/>
    <w:rsid w:val="76104166"/>
    <w:rsid w:val="761F36C5"/>
    <w:rsid w:val="76381FAB"/>
    <w:rsid w:val="76645AE7"/>
    <w:rsid w:val="766A66DC"/>
    <w:rsid w:val="766D37EB"/>
    <w:rsid w:val="76805D33"/>
    <w:rsid w:val="76B76559"/>
    <w:rsid w:val="76C1748B"/>
    <w:rsid w:val="76CB66C2"/>
    <w:rsid w:val="76D72961"/>
    <w:rsid w:val="76DA28C5"/>
    <w:rsid w:val="76DE63E9"/>
    <w:rsid w:val="76E97048"/>
    <w:rsid w:val="76F10225"/>
    <w:rsid w:val="76F84648"/>
    <w:rsid w:val="76FF4AF8"/>
    <w:rsid w:val="77267F29"/>
    <w:rsid w:val="772B0E02"/>
    <w:rsid w:val="77361D8F"/>
    <w:rsid w:val="773F6B8B"/>
    <w:rsid w:val="77685CA5"/>
    <w:rsid w:val="777164C4"/>
    <w:rsid w:val="777F1F8A"/>
    <w:rsid w:val="778F53C8"/>
    <w:rsid w:val="77A340AF"/>
    <w:rsid w:val="77FC7EA1"/>
    <w:rsid w:val="78030BB3"/>
    <w:rsid w:val="781E5BB3"/>
    <w:rsid w:val="78291A3D"/>
    <w:rsid w:val="7840644C"/>
    <w:rsid w:val="78665DAD"/>
    <w:rsid w:val="78684E9D"/>
    <w:rsid w:val="786B0114"/>
    <w:rsid w:val="788526FC"/>
    <w:rsid w:val="789325A8"/>
    <w:rsid w:val="789C5CC2"/>
    <w:rsid w:val="78B55E40"/>
    <w:rsid w:val="78BD011C"/>
    <w:rsid w:val="78CF013E"/>
    <w:rsid w:val="78D41BC4"/>
    <w:rsid w:val="78D7123D"/>
    <w:rsid w:val="78E45DC5"/>
    <w:rsid w:val="78E74107"/>
    <w:rsid w:val="78E829E1"/>
    <w:rsid w:val="7911492F"/>
    <w:rsid w:val="79254E6A"/>
    <w:rsid w:val="79292660"/>
    <w:rsid w:val="79424D71"/>
    <w:rsid w:val="794A4ACB"/>
    <w:rsid w:val="7969335E"/>
    <w:rsid w:val="79707EB6"/>
    <w:rsid w:val="79956DF5"/>
    <w:rsid w:val="799F18BD"/>
    <w:rsid w:val="79A9542E"/>
    <w:rsid w:val="79B67472"/>
    <w:rsid w:val="79BE5DE1"/>
    <w:rsid w:val="79D65E05"/>
    <w:rsid w:val="79D82C2E"/>
    <w:rsid w:val="79E24263"/>
    <w:rsid w:val="79F04129"/>
    <w:rsid w:val="79F21FD8"/>
    <w:rsid w:val="7A044F5E"/>
    <w:rsid w:val="7A0716CA"/>
    <w:rsid w:val="7A114BB5"/>
    <w:rsid w:val="7A14656B"/>
    <w:rsid w:val="7A246641"/>
    <w:rsid w:val="7A3005C8"/>
    <w:rsid w:val="7A495661"/>
    <w:rsid w:val="7A4D6899"/>
    <w:rsid w:val="7A5868E1"/>
    <w:rsid w:val="7A654EF0"/>
    <w:rsid w:val="7A755AD2"/>
    <w:rsid w:val="7A7F5660"/>
    <w:rsid w:val="7A827221"/>
    <w:rsid w:val="7A9149C4"/>
    <w:rsid w:val="7A930150"/>
    <w:rsid w:val="7A972572"/>
    <w:rsid w:val="7AA34AEB"/>
    <w:rsid w:val="7ADE6CE8"/>
    <w:rsid w:val="7AEB63DD"/>
    <w:rsid w:val="7B0B6E35"/>
    <w:rsid w:val="7B17071C"/>
    <w:rsid w:val="7B2D4E59"/>
    <w:rsid w:val="7B3E6F0C"/>
    <w:rsid w:val="7B487574"/>
    <w:rsid w:val="7B5B03C8"/>
    <w:rsid w:val="7B677818"/>
    <w:rsid w:val="7B742FC3"/>
    <w:rsid w:val="7B7C2D50"/>
    <w:rsid w:val="7B8332C5"/>
    <w:rsid w:val="7B933A33"/>
    <w:rsid w:val="7B9B5776"/>
    <w:rsid w:val="7BB87E91"/>
    <w:rsid w:val="7BBA4C6D"/>
    <w:rsid w:val="7BBF7B42"/>
    <w:rsid w:val="7BC47370"/>
    <w:rsid w:val="7BE85532"/>
    <w:rsid w:val="7BF521EB"/>
    <w:rsid w:val="7BF65A76"/>
    <w:rsid w:val="7C1526D4"/>
    <w:rsid w:val="7C521E57"/>
    <w:rsid w:val="7C563743"/>
    <w:rsid w:val="7C5B29CF"/>
    <w:rsid w:val="7C6D5ED6"/>
    <w:rsid w:val="7C7F0437"/>
    <w:rsid w:val="7C9E7D96"/>
    <w:rsid w:val="7CA2276B"/>
    <w:rsid w:val="7CB67DC0"/>
    <w:rsid w:val="7CBD1EC8"/>
    <w:rsid w:val="7CD25978"/>
    <w:rsid w:val="7CEC5ADC"/>
    <w:rsid w:val="7CFA373E"/>
    <w:rsid w:val="7D000B73"/>
    <w:rsid w:val="7D0047C2"/>
    <w:rsid w:val="7D3D38AB"/>
    <w:rsid w:val="7D413779"/>
    <w:rsid w:val="7D482750"/>
    <w:rsid w:val="7D4E1D3F"/>
    <w:rsid w:val="7D4F55E2"/>
    <w:rsid w:val="7D6008FC"/>
    <w:rsid w:val="7D626802"/>
    <w:rsid w:val="7D696143"/>
    <w:rsid w:val="7D6A45A3"/>
    <w:rsid w:val="7D7B394F"/>
    <w:rsid w:val="7D810AC9"/>
    <w:rsid w:val="7D856862"/>
    <w:rsid w:val="7D8953D3"/>
    <w:rsid w:val="7D8B14DE"/>
    <w:rsid w:val="7D9F0D2B"/>
    <w:rsid w:val="7D9F2B6E"/>
    <w:rsid w:val="7D9F62FE"/>
    <w:rsid w:val="7DB4614C"/>
    <w:rsid w:val="7DBF1D7F"/>
    <w:rsid w:val="7DC9253D"/>
    <w:rsid w:val="7DE37918"/>
    <w:rsid w:val="7DF232D8"/>
    <w:rsid w:val="7DF44714"/>
    <w:rsid w:val="7DFC6FC2"/>
    <w:rsid w:val="7E135DA3"/>
    <w:rsid w:val="7E175904"/>
    <w:rsid w:val="7E2D3630"/>
    <w:rsid w:val="7E2F2179"/>
    <w:rsid w:val="7E314AA9"/>
    <w:rsid w:val="7E352319"/>
    <w:rsid w:val="7E564D83"/>
    <w:rsid w:val="7E691AAA"/>
    <w:rsid w:val="7E755EAD"/>
    <w:rsid w:val="7E784DF4"/>
    <w:rsid w:val="7E8C5D3C"/>
    <w:rsid w:val="7EA51811"/>
    <w:rsid w:val="7EA521AD"/>
    <w:rsid w:val="7EB37EC7"/>
    <w:rsid w:val="7EB52EE8"/>
    <w:rsid w:val="7EBC6F95"/>
    <w:rsid w:val="7ECE76CB"/>
    <w:rsid w:val="7ED14D09"/>
    <w:rsid w:val="7EDC7F0A"/>
    <w:rsid w:val="7EFC08FE"/>
    <w:rsid w:val="7EFC1A7B"/>
    <w:rsid w:val="7F0F5438"/>
    <w:rsid w:val="7F26412C"/>
    <w:rsid w:val="7F2E2C68"/>
    <w:rsid w:val="7F331D30"/>
    <w:rsid w:val="7F345D5C"/>
    <w:rsid w:val="7F37282D"/>
    <w:rsid w:val="7F4718C5"/>
    <w:rsid w:val="7F491102"/>
    <w:rsid w:val="7F5157A1"/>
    <w:rsid w:val="7F557C58"/>
    <w:rsid w:val="7F5D41F3"/>
    <w:rsid w:val="7F610DEC"/>
    <w:rsid w:val="7F6C669C"/>
    <w:rsid w:val="7F7A36CC"/>
    <w:rsid w:val="7F817243"/>
    <w:rsid w:val="7FC9636E"/>
    <w:rsid w:val="7FCD746C"/>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numPr>
        <w:ilvl w:val="0"/>
        <w:numId w:val="1"/>
      </w:numPr>
      <w:pBdr>
        <w:top w:val="single" w:color="auto" w:sz="12" w:space="3"/>
      </w:pBdr>
      <w:spacing w:before="240" w:after="180" w:line="259" w:lineRule="auto"/>
      <w:outlineLvl w:val="0"/>
    </w:pPr>
    <w:rPr>
      <w:rFonts w:ascii="Arial" w:hAnsi="Arial" w:eastAsia="Times New Roman" w:cs="Times New Roman"/>
      <w:sz w:val="36"/>
      <w:lang w:val="en-GB" w:eastAsia="en-US" w:bidi="ar-SA"/>
    </w:rPr>
  </w:style>
  <w:style w:type="paragraph" w:styleId="3">
    <w:name w:val="heading 2"/>
    <w:basedOn w:val="2"/>
    <w:next w:val="1"/>
    <w:link w:val="65"/>
    <w:qFormat/>
    <w:uiPriority w:val="0"/>
    <w:pPr>
      <w:numPr>
        <w:ilvl w:val="1"/>
      </w:numPr>
      <w:pBdr>
        <w:top w:val="none" w:color="auto" w:sz="0" w:space="0"/>
      </w:pBdr>
      <w:spacing w:after="60"/>
      <w:outlineLvl w:val="1"/>
    </w:pPr>
    <w:rPr>
      <w:bCs/>
      <w:iCs/>
      <w:sz w:val="28"/>
      <w:szCs w:val="28"/>
    </w:rPr>
  </w:style>
  <w:style w:type="paragraph" w:styleId="4">
    <w:name w:val="heading 3"/>
    <w:basedOn w:val="1"/>
    <w:next w:val="1"/>
    <w:qFormat/>
    <w:uiPriority w:val="0"/>
    <w:pPr>
      <w:keepNext/>
      <w:numPr>
        <w:ilvl w:val="2"/>
        <w:numId w:val="1"/>
      </w:numPr>
      <w:spacing w:before="240" w:after="240"/>
      <w:outlineLvl w:val="2"/>
    </w:pPr>
    <w:rPr>
      <w:rFonts w:ascii="Arial" w:hAnsi="Arial" w:cs="Arial"/>
      <w:bCs/>
      <w:sz w:val="24"/>
      <w:szCs w:val="26"/>
    </w:rPr>
  </w:style>
  <w:style w:type="paragraph" w:styleId="5">
    <w:name w:val="heading 4"/>
    <w:basedOn w:val="4"/>
    <w:next w:val="1"/>
    <w:qFormat/>
    <w:uiPriority w:val="0"/>
    <w:pPr>
      <w:keepLines/>
      <w:numPr>
        <w:ilvl w:val="0"/>
        <w:numId w:val="0"/>
      </w:numPr>
      <w:spacing w:before="120" w:after="180"/>
      <w:ind w:left="1418" w:hanging="1418"/>
      <w:outlineLvl w:val="3"/>
    </w:pPr>
    <w:rPr>
      <w:rFonts w:cs="Times New Roman"/>
      <w:bCs w:val="0"/>
      <w:szCs w:val="20"/>
    </w:rPr>
  </w:style>
  <w:style w:type="paragraph" w:styleId="6">
    <w:name w:val="heading 5"/>
    <w:basedOn w:val="5"/>
    <w:next w:val="1"/>
    <w:qFormat/>
    <w:uiPriority w:val="0"/>
    <w:pPr>
      <w:spacing w:before="280" w:after="290" w:line="376" w:lineRule="auto"/>
      <w:outlineLvl w:val="4"/>
    </w:pPr>
    <w:rPr>
      <w:b/>
      <w:bCs/>
      <w:sz w:val="28"/>
      <w:szCs w:val="28"/>
    </w:rPr>
  </w:style>
  <w:style w:type="paragraph" w:styleId="7">
    <w:name w:val="heading 6"/>
    <w:basedOn w:val="1"/>
    <w:next w:val="1"/>
    <w:qFormat/>
    <w:uiPriority w:val="0"/>
    <w:pPr>
      <w:keepNext/>
      <w:keepLines/>
      <w:tabs>
        <w:tab w:val="left" w:pos="1152"/>
      </w:tabs>
      <w:spacing w:before="120"/>
      <w:ind w:left="1152" w:hanging="1152"/>
      <w:outlineLvl w:val="5"/>
    </w:pPr>
    <w:rPr>
      <w:rFonts w:ascii="Arial" w:hAnsi="Arial" w:eastAsia="Batang"/>
    </w:rPr>
  </w:style>
  <w:style w:type="paragraph" w:styleId="8">
    <w:name w:val="heading 7"/>
    <w:basedOn w:val="1"/>
    <w:next w:val="1"/>
    <w:qFormat/>
    <w:uiPriority w:val="0"/>
    <w:pPr>
      <w:keepNext/>
      <w:keepLines/>
      <w:tabs>
        <w:tab w:val="left" w:pos="1296"/>
      </w:tabs>
      <w:spacing w:before="120"/>
      <w:ind w:left="1296" w:hanging="1296"/>
      <w:outlineLvl w:val="6"/>
    </w:pPr>
    <w:rPr>
      <w:rFonts w:ascii="Arial" w:hAnsi="Arial" w:eastAsia="Batang"/>
    </w:rPr>
  </w:style>
  <w:style w:type="paragraph" w:styleId="9">
    <w:name w:val="heading 8"/>
    <w:basedOn w:val="2"/>
    <w:next w:val="1"/>
    <w:qFormat/>
    <w:uiPriority w:val="0"/>
    <w:pPr>
      <w:numPr>
        <w:numId w:val="0"/>
      </w:numPr>
      <w:tabs>
        <w:tab w:val="left" w:pos="1440"/>
      </w:tabs>
      <w:ind w:left="1440" w:hanging="1440"/>
      <w:outlineLvl w:val="7"/>
    </w:pPr>
    <w:rPr>
      <w:rFonts w:eastAsia="Batang"/>
    </w:rPr>
  </w:style>
  <w:style w:type="paragraph" w:styleId="10">
    <w:name w:val="heading 9"/>
    <w:basedOn w:val="9"/>
    <w:next w:val="1"/>
    <w:qFormat/>
    <w:uiPriority w:val="0"/>
    <w:pPr>
      <w:tabs>
        <w:tab w:val="left" w:pos="1584"/>
        <w:tab w:val="clear" w:pos="1440"/>
      </w:tabs>
      <w:ind w:left="1584" w:hanging="1584"/>
      <w:outlineLvl w:val="8"/>
    </w:pPr>
  </w:style>
  <w:style w:type="character" w:default="1" w:styleId="25">
    <w:name w:val="Default Paragraph Font"/>
    <w:semiHidden/>
    <w:unhideWhenUsed/>
    <w:qFormat/>
    <w:uiPriority w:val="1"/>
  </w:style>
  <w:style w:type="table" w:default="1" w:styleId="32">
    <w:name w:val="Normal Table"/>
    <w:semiHidden/>
    <w:unhideWhenUsed/>
    <w:qFormat/>
    <w:uiPriority w:val="99"/>
    <w:tblPr>
      <w:tblLayout w:type="fixed"/>
      <w:tblCellMar>
        <w:top w:w="0" w:type="dxa"/>
        <w:left w:w="108" w:type="dxa"/>
        <w:bottom w:w="0" w:type="dxa"/>
        <w:right w:w="108" w:type="dxa"/>
      </w:tblCellMar>
    </w:tblPr>
  </w:style>
  <w:style w:type="paragraph" w:styleId="11">
    <w:name w:val="List 3"/>
    <w:basedOn w:val="1"/>
    <w:qFormat/>
    <w:uiPriority w:val="0"/>
    <w:pPr>
      <w:ind w:left="100" w:leftChars="400" w:hanging="200" w:hangingChars="200"/>
    </w:pPr>
  </w:style>
  <w:style w:type="paragraph" w:styleId="12">
    <w:name w:val="annotation subject"/>
    <w:basedOn w:val="13"/>
    <w:next w:val="13"/>
    <w:semiHidden/>
    <w:qFormat/>
    <w:uiPriority w:val="0"/>
    <w:rPr>
      <w:b/>
      <w:bCs/>
    </w:rPr>
  </w:style>
  <w:style w:type="paragraph" w:styleId="13">
    <w:name w:val="annotation text"/>
    <w:basedOn w:val="1"/>
    <w:link w:val="54"/>
    <w:semiHidden/>
    <w:qFormat/>
    <w:uiPriority w:val="0"/>
  </w:style>
  <w:style w:type="paragraph" w:styleId="14">
    <w:name w:val="caption"/>
    <w:basedOn w:val="1"/>
    <w:next w:val="1"/>
    <w:link w:val="52"/>
    <w:qFormat/>
    <w:uiPriority w:val="0"/>
    <w:rPr>
      <w:b/>
      <w:bCs/>
    </w:rPr>
  </w:style>
  <w:style w:type="paragraph" w:styleId="15">
    <w:name w:val="Document Map"/>
    <w:basedOn w:val="1"/>
    <w:semiHidden/>
    <w:qFormat/>
    <w:uiPriority w:val="0"/>
    <w:pPr>
      <w:shd w:val="clear" w:color="auto" w:fill="000080"/>
    </w:pPr>
  </w:style>
  <w:style w:type="paragraph" w:styleId="16">
    <w:name w:val="Body Text"/>
    <w:basedOn w:val="1"/>
    <w:qFormat/>
    <w:uiPriority w:val="0"/>
    <w:pPr>
      <w:overflowPunct w:val="0"/>
      <w:autoSpaceDE w:val="0"/>
      <w:autoSpaceDN w:val="0"/>
      <w:adjustRightInd w:val="0"/>
      <w:spacing w:after="120"/>
      <w:textAlignment w:val="baseline"/>
    </w:pPr>
    <w:rPr>
      <w:rFonts w:eastAsia="MS Mincho"/>
    </w:rPr>
  </w:style>
  <w:style w:type="paragraph" w:styleId="17">
    <w:name w:val="List 2"/>
    <w:basedOn w:val="1"/>
    <w:qFormat/>
    <w:uiPriority w:val="0"/>
    <w:pPr>
      <w:ind w:left="100" w:leftChars="200" w:hanging="200" w:hangingChars="200"/>
    </w:pPr>
  </w:style>
  <w:style w:type="paragraph" w:styleId="18">
    <w:name w:val="Balloon Text"/>
    <w:basedOn w:val="1"/>
    <w:semiHidden/>
    <w:qFormat/>
    <w:uiPriority w:val="0"/>
    <w:rPr>
      <w:rFonts w:ascii="Tahoma" w:hAnsi="Tahoma" w:cs="Tahoma"/>
      <w:sz w:val="16"/>
      <w:szCs w:val="16"/>
    </w:rPr>
  </w:style>
  <w:style w:type="paragraph" w:styleId="19">
    <w:name w:val="footer"/>
    <w:basedOn w:val="20"/>
    <w:qFormat/>
    <w:uiPriority w:val="0"/>
    <w:pPr>
      <w:jc w:val="center"/>
    </w:pPr>
    <w:rPr>
      <w:i/>
    </w:rPr>
  </w:style>
  <w:style w:type="paragraph" w:styleId="20">
    <w:name w:val="header"/>
    <w:link w:val="45"/>
    <w:qFormat/>
    <w:uiPriority w:val="0"/>
    <w:pPr>
      <w:widowControl w:val="0"/>
      <w:spacing w:after="160" w:line="259" w:lineRule="auto"/>
    </w:pPr>
    <w:rPr>
      <w:rFonts w:ascii="Arial" w:hAnsi="Arial" w:eastAsia="Times New Roman" w:cs="Times New Roman"/>
      <w:b/>
      <w:sz w:val="18"/>
      <w:lang w:val="en-GB" w:eastAsia="en-US" w:bidi="ar-SA"/>
    </w:rPr>
  </w:style>
  <w:style w:type="paragraph" w:styleId="21">
    <w:name w:val="List"/>
    <w:basedOn w:val="1"/>
    <w:qFormat/>
    <w:uiPriority w:val="0"/>
    <w:pPr>
      <w:tabs>
        <w:tab w:val="left" w:pos="425"/>
      </w:tabs>
      <w:ind w:left="425" w:hanging="425"/>
    </w:pPr>
  </w:style>
  <w:style w:type="paragraph" w:styleId="22">
    <w:name w:val="List 5"/>
    <w:basedOn w:val="1"/>
    <w:qFormat/>
    <w:uiPriority w:val="0"/>
    <w:pPr>
      <w:ind w:left="100" w:leftChars="800" w:hanging="200" w:hangingChars="200"/>
    </w:pPr>
  </w:style>
  <w:style w:type="paragraph" w:styleId="23">
    <w:name w:val="List 4"/>
    <w:basedOn w:val="1"/>
    <w:qFormat/>
    <w:uiPriority w:val="0"/>
    <w:pPr>
      <w:ind w:left="100" w:leftChars="600" w:hanging="200" w:hangingChars="200"/>
    </w:pPr>
  </w:style>
  <w:style w:type="paragraph" w:styleId="24">
    <w:name w:val="Normal (Web)"/>
    <w:basedOn w:val="1"/>
    <w:unhideWhenUsed/>
    <w:qFormat/>
    <w:uiPriority w:val="0"/>
    <w:pPr>
      <w:spacing w:before="100" w:beforeAutospacing="1" w:after="100" w:afterAutospacing="1"/>
    </w:pPr>
    <w:rPr>
      <w:sz w:val="24"/>
      <w:szCs w:val="24"/>
      <w:lang w:val="en-US" w:eastAsia="zh-CN"/>
    </w:rPr>
  </w:style>
  <w:style w:type="character" w:styleId="26">
    <w:name w:val="Strong"/>
    <w:basedOn w:val="25"/>
    <w:qFormat/>
    <w:uiPriority w:val="0"/>
    <w:rPr>
      <w:b/>
    </w:rPr>
  </w:style>
  <w:style w:type="character" w:styleId="27">
    <w:name w:val="page number"/>
    <w:basedOn w:val="25"/>
    <w:qFormat/>
    <w:uiPriority w:val="0"/>
  </w:style>
  <w:style w:type="character" w:styleId="28">
    <w:name w:val="FollowedHyperlink"/>
    <w:qFormat/>
    <w:uiPriority w:val="0"/>
    <w:rPr>
      <w:color w:val="800080"/>
      <w:u w:val="single"/>
    </w:rPr>
  </w:style>
  <w:style w:type="character" w:styleId="29">
    <w:name w:val="Emphasis"/>
    <w:qFormat/>
    <w:uiPriority w:val="0"/>
    <w:rPr>
      <w:i/>
      <w:iCs/>
    </w:rPr>
  </w:style>
  <w:style w:type="character" w:styleId="30">
    <w:name w:val="Hyperlink"/>
    <w:qFormat/>
    <w:uiPriority w:val="99"/>
    <w:rPr>
      <w:color w:val="0000FF"/>
      <w:u w:val="single"/>
    </w:rPr>
  </w:style>
  <w:style w:type="character" w:styleId="31">
    <w:name w:val="annotation reference"/>
    <w:semiHidden/>
    <w:qFormat/>
    <w:uiPriority w:val="0"/>
    <w:rPr>
      <w:sz w:val="21"/>
      <w:szCs w:val="21"/>
    </w:rPr>
  </w:style>
  <w:style w:type="table" w:styleId="33">
    <w:name w:val="Table Grid"/>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34">
    <w:name w:val="Table Theme"/>
    <w:basedOn w:val="3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35">
    <w:name w:val="PL Char"/>
    <w:link w:val="36"/>
    <w:qFormat/>
    <w:uiPriority w:val="0"/>
    <w:rPr>
      <w:rFonts w:ascii="Courier New" w:hAnsi="Courier New" w:eastAsia="宋体"/>
      <w:sz w:val="16"/>
      <w:lang w:val="en-GB" w:eastAsia="en-US" w:bidi="ar-SA"/>
    </w:rPr>
  </w:style>
  <w:style w:type="paragraph" w:customStyle="1" w:styleId="36">
    <w:name w:val="PL"/>
    <w:link w:val="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37">
    <w:name w:val="Doc-text2 Char"/>
    <w:link w:val="38"/>
    <w:qFormat/>
    <w:uiPriority w:val="0"/>
    <w:rPr>
      <w:rFonts w:ascii="Arial" w:hAnsi="Arial"/>
      <w:szCs w:val="24"/>
      <w:lang w:val="en-GB" w:eastAsia="en-GB"/>
    </w:rPr>
  </w:style>
  <w:style w:type="paragraph" w:customStyle="1" w:styleId="38">
    <w:name w:val="Doc-text2"/>
    <w:basedOn w:val="1"/>
    <w:link w:val="37"/>
    <w:qFormat/>
    <w:uiPriority w:val="0"/>
    <w:pPr>
      <w:tabs>
        <w:tab w:val="left" w:pos="1622"/>
      </w:tabs>
      <w:spacing w:after="0"/>
      <w:ind w:left="1622" w:hanging="363"/>
    </w:pPr>
    <w:rPr>
      <w:rFonts w:ascii="Arial" w:hAnsi="Arial" w:eastAsia="MS Mincho"/>
      <w:szCs w:val="24"/>
      <w:lang w:eastAsia="en-GB"/>
    </w:rPr>
  </w:style>
  <w:style w:type="character" w:customStyle="1" w:styleId="39">
    <w:name w:val="B4 Char"/>
    <w:link w:val="40"/>
    <w:qFormat/>
    <w:uiPriority w:val="0"/>
    <w:rPr>
      <w:rFonts w:eastAsia="宋体"/>
      <w:lang w:val="en-GB" w:eastAsia="en-US" w:bidi="ar-SA"/>
    </w:rPr>
  </w:style>
  <w:style w:type="paragraph" w:customStyle="1" w:styleId="40">
    <w:name w:val="B4"/>
    <w:basedOn w:val="23"/>
    <w:link w:val="39"/>
    <w:qFormat/>
    <w:uiPriority w:val="0"/>
    <w:pPr>
      <w:ind w:left="1418" w:leftChars="0" w:hanging="284" w:firstLineChars="0"/>
    </w:pPr>
    <w:rPr>
      <w:rFonts w:eastAsia="宋体"/>
    </w:rPr>
  </w:style>
  <w:style w:type="character" w:customStyle="1" w:styleId="41">
    <w:name w:val="TAL Char Char Char"/>
    <w:link w:val="42"/>
    <w:qFormat/>
    <w:uiPriority w:val="0"/>
    <w:rPr>
      <w:rFonts w:ascii="Arial" w:hAnsi="Arial" w:eastAsia="宋体"/>
      <w:sz w:val="18"/>
      <w:lang w:val="en-GB" w:eastAsia="en-US" w:bidi="ar-SA"/>
    </w:rPr>
  </w:style>
  <w:style w:type="paragraph" w:customStyle="1" w:styleId="42">
    <w:name w:val="TAL Char Char"/>
    <w:basedOn w:val="1"/>
    <w:link w:val="41"/>
    <w:qFormat/>
    <w:uiPriority w:val="0"/>
    <w:pPr>
      <w:keepNext/>
      <w:keepLines/>
      <w:overflowPunct w:val="0"/>
      <w:autoSpaceDE w:val="0"/>
      <w:autoSpaceDN w:val="0"/>
      <w:adjustRightInd w:val="0"/>
      <w:spacing w:after="0"/>
      <w:textAlignment w:val="baseline"/>
    </w:pPr>
    <w:rPr>
      <w:rFonts w:ascii="Arial" w:hAnsi="Arial" w:eastAsia="宋体"/>
      <w:sz w:val="18"/>
    </w:rPr>
  </w:style>
  <w:style w:type="character" w:customStyle="1" w:styleId="43">
    <w:name w:val="TAL Char"/>
    <w:qFormat/>
    <w:uiPriority w:val="0"/>
    <w:rPr>
      <w:rFonts w:ascii="Arial" w:hAnsi="Arial"/>
      <w:sz w:val="18"/>
      <w:lang w:val="en-GB" w:eastAsia="en-GB" w:bidi="ar-SA"/>
    </w:rPr>
  </w:style>
  <w:style w:type="character" w:customStyle="1" w:styleId="44">
    <w:name w:val="B1 Char"/>
    <w:qFormat/>
    <w:uiPriority w:val="0"/>
    <w:rPr>
      <w:rFonts w:eastAsia="MS Mincho"/>
      <w:lang w:val="en-GB" w:eastAsia="en-US" w:bidi="ar-SA"/>
    </w:rPr>
  </w:style>
  <w:style w:type="character" w:customStyle="1" w:styleId="45">
    <w:name w:val="Header Char"/>
    <w:link w:val="20"/>
    <w:qFormat/>
    <w:uiPriority w:val="0"/>
    <w:rPr>
      <w:rFonts w:ascii="Arial" w:hAnsi="Arial" w:eastAsia="Times New Roman"/>
      <w:b/>
      <w:sz w:val="18"/>
      <w:lang w:val="en-GB" w:eastAsia="en-US" w:bidi="ar-SA"/>
    </w:rPr>
  </w:style>
  <w:style w:type="character" w:customStyle="1" w:styleId="46">
    <w:name w:val="TAH Car"/>
    <w:link w:val="47"/>
    <w:qFormat/>
    <w:uiPriority w:val="0"/>
    <w:rPr>
      <w:rFonts w:ascii="Arial" w:hAnsi="Arial" w:eastAsia="宋体"/>
      <w:b/>
      <w:sz w:val="18"/>
      <w:lang w:val="en-GB" w:eastAsia="en-US"/>
    </w:rPr>
  </w:style>
  <w:style w:type="paragraph" w:customStyle="1" w:styleId="47">
    <w:name w:val="TAH"/>
    <w:basedOn w:val="1"/>
    <w:link w:val="46"/>
    <w:qFormat/>
    <w:uiPriority w:val="0"/>
    <w:pPr>
      <w:keepNext/>
      <w:keepLines/>
      <w:spacing w:after="0"/>
      <w:jc w:val="center"/>
    </w:pPr>
    <w:rPr>
      <w:rFonts w:ascii="Arial" w:hAnsi="Arial" w:eastAsia="宋体"/>
      <w:b/>
      <w:sz w:val="18"/>
    </w:rPr>
  </w:style>
  <w:style w:type="character" w:customStyle="1" w:styleId="48">
    <w:name w:val="B1 Char1"/>
    <w:link w:val="49"/>
    <w:qFormat/>
    <w:uiPriority w:val="0"/>
    <w:rPr>
      <w:rFonts w:eastAsia="宋体"/>
      <w:lang w:val="en-GB" w:eastAsia="en-US"/>
    </w:rPr>
  </w:style>
  <w:style w:type="paragraph" w:customStyle="1" w:styleId="49">
    <w:name w:val="B1"/>
    <w:basedOn w:val="21"/>
    <w:link w:val="48"/>
    <w:qFormat/>
    <w:uiPriority w:val="0"/>
    <w:pPr>
      <w:ind w:left="568" w:hanging="284"/>
    </w:pPr>
    <w:rPr>
      <w:rFonts w:eastAsia="宋体"/>
    </w:rPr>
  </w:style>
  <w:style w:type="character" w:customStyle="1" w:styleId="50">
    <w:name w:val="Comments Char"/>
    <w:qFormat/>
    <w:locked/>
    <w:uiPriority w:val="0"/>
    <w:rPr>
      <w:rFonts w:ascii="Arial" w:hAnsi="Arial" w:eastAsia="MS Mincho" w:cs="Times New Roman"/>
      <w:i/>
      <w:sz w:val="24"/>
      <w:szCs w:val="24"/>
      <w:lang w:val="en-GB" w:eastAsia="en-GB"/>
    </w:rPr>
  </w:style>
  <w:style w:type="character" w:customStyle="1" w:styleId="51">
    <w:name w:val="Comments"/>
    <w:qFormat/>
    <w:uiPriority w:val="0"/>
    <w:rPr>
      <w:i/>
      <w:iCs/>
      <w:sz w:val="16"/>
    </w:rPr>
  </w:style>
  <w:style w:type="character" w:customStyle="1" w:styleId="52">
    <w:name w:val="Caption Char"/>
    <w:link w:val="14"/>
    <w:qFormat/>
    <w:uiPriority w:val="0"/>
    <w:rPr>
      <w:rFonts w:eastAsia="Times New Roman"/>
      <w:b/>
      <w:bCs/>
      <w:lang w:val="en-GB" w:eastAsia="en-US"/>
    </w:rPr>
  </w:style>
  <w:style w:type="character" w:customStyle="1" w:styleId="53">
    <w:name w:val="highlight"/>
    <w:basedOn w:val="25"/>
    <w:qFormat/>
    <w:uiPriority w:val="0"/>
  </w:style>
  <w:style w:type="character" w:customStyle="1" w:styleId="54">
    <w:name w:val="Comment Text Char"/>
    <w:link w:val="13"/>
    <w:semiHidden/>
    <w:qFormat/>
    <w:uiPriority w:val="0"/>
    <w:rPr>
      <w:rFonts w:eastAsia="Times New Roman"/>
      <w:lang w:val="en-GB" w:eastAsia="en-US"/>
    </w:rPr>
  </w:style>
  <w:style w:type="character" w:customStyle="1" w:styleId="55">
    <w:name w:val="B2 Char"/>
    <w:link w:val="56"/>
    <w:qFormat/>
    <w:uiPriority w:val="0"/>
    <w:rPr>
      <w:rFonts w:eastAsia="宋体"/>
      <w:lang w:val="en-GB" w:eastAsia="en-US" w:bidi="ar-SA"/>
    </w:rPr>
  </w:style>
  <w:style w:type="paragraph" w:customStyle="1" w:styleId="56">
    <w:name w:val="B2"/>
    <w:basedOn w:val="17"/>
    <w:link w:val="55"/>
    <w:qFormat/>
    <w:uiPriority w:val="0"/>
    <w:pPr>
      <w:ind w:left="851" w:leftChars="0" w:hanging="284" w:firstLineChars="0"/>
    </w:pPr>
    <w:rPr>
      <w:rFonts w:eastAsia="宋体"/>
    </w:rPr>
  </w:style>
  <w:style w:type="character" w:customStyle="1" w:styleId="57">
    <w:name w:val="List Paragraph Char"/>
    <w:link w:val="58"/>
    <w:qFormat/>
    <w:uiPriority w:val="34"/>
    <w:rPr>
      <w:rFonts w:eastAsia="Times New Roman"/>
      <w:lang w:val="en-GB" w:eastAsia="en-US"/>
    </w:rPr>
  </w:style>
  <w:style w:type="paragraph" w:customStyle="1" w:styleId="58">
    <w:name w:val="List Paragraph1"/>
    <w:basedOn w:val="1"/>
    <w:link w:val="57"/>
    <w:qFormat/>
    <w:uiPriority w:val="34"/>
    <w:pPr>
      <w:ind w:left="720"/>
      <w:contextualSpacing/>
    </w:pPr>
  </w:style>
  <w:style w:type="character" w:customStyle="1" w:styleId="59">
    <w:name w:val="short_text"/>
    <w:basedOn w:val="25"/>
    <w:qFormat/>
    <w:uiPriority w:val="0"/>
  </w:style>
  <w:style w:type="character" w:customStyle="1" w:styleId="60">
    <w:name w:val="B3 Char"/>
    <w:qFormat/>
    <w:uiPriority w:val="0"/>
    <w:rPr>
      <w:lang w:val="en-GB" w:eastAsia="ja-JP" w:bidi="ar-SA"/>
    </w:rPr>
  </w:style>
  <w:style w:type="character" w:customStyle="1" w:styleId="61">
    <w:name w:val="def"/>
    <w:basedOn w:val="25"/>
    <w:qFormat/>
    <w:uiPriority w:val="0"/>
  </w:style>
  <w:style w:type="character" w:customStyle="1" w:styleId="62">
    <w:name w:val="TAC Char"/>
    <w:link w:val="63"/>
    <w:qFormat/>
    <w:uiPriority w:val="0"/>
    <w:rPr>
      <w:rFonts w:ascii="Arial" w:hAnsi="Arial" w:eastAsia="宋体"/>
      <w:sz w:val="18"/>
      <w:lang w:val="en-GB" w:eastAsia="en-US"/>
    </w:rPr>
  </w:style>
  <w:style w:type="paragraph" w:customStyle="1" w:styleId="63">
    <w:name w:val="TAC"/>
    <w:basedOn w:val="64"/>
    <w:link w:val="62"/>
    <w:qFormat/>
    <w:uiPriority w:val="0"/>
    <w:pPr>
      <w:jc w:val="center"/>
    </w:pPr>
  </w:style>
  <w:style w:type="paragraph" w:customStyle="1" w:styleId="64">
    <w:name w:val="TAL"/>
    <w:basedOn w:val="1"/>
    <w:link w:val="77"/>
    <w:qFormat/>
    <w:uiPriority w:val="0"/>
    <w:pPr>
      <w:keepNext/>
      <w:keepLines/>
      <w:spacing w:after="0"/>
    </w:pPr>
    <w:rPr>
      <w:rFonts w:ascii="Arial" w:hAnsi="Arial" w:eastAsia="宋体"/>
      <w:sz w:val="18"/>
    </w:rPr>
  </w:style>
  <w:style w:type="character" w:customStyle="1" w:styleId="65">
    <w:name w:val="Heading 2 Char"/>
    <w:link w:val="3"/>
    <w:qFormat/>
    <w:uiPriority w:val="0"/>
    <w:rPr>
      <w:rFonts w:ascii="Arial" w:hAnsi="Arial" w:eastAsia="Times New Roman"/>
      <w:bCs/>
      <w:iCs/>
      <w:sz w:val="28"/>
      <w:szCs w:val="28"/>
      <w:lang w:val="en-GB" w:eastAsia="en-US"/>
    </w:rPr>
  </w:style>
  <w:style w:type="character" w:customStyle="1" w:styleId="66">
    <w:name w:val="TAN Char"/>
    <w:link w:val="67"/>
    <w:qFormat/>
    <w:uiPriority w:val="0"/>
    <w:rPr>
      <w:rFonts w:ascii="Arial" w:hAnsi="Arial" w:eastAsia="宋体"/>
      <w:sz w:val="18"/>
      <w:lang w:val="en-GB" w:eastAsia="ja-JP" w:bidi="ar-SA"/>
    </w:rPr>
  </w:style>
  <w:style w:type="paragraph" w:customStyle="1" w:styleId="67">
    <w:name w:val="TAN"/>
    <w:basedOn w:val="64"/>
    <w:link w:val="66"/>
    <w:qFormat/>
    <w:uiPriority w:val="0"/>
    <w:pPr>
      <w:overflowPunct w:val="0"/>
      <w:autoSpaceDE w:val="0"/>
      <w:autoSpaceDN w:val="0"/>
      <w:adjustRightInd w:val="0"/>
      <w:ind w:left="851" w:hanging="851"/>
      <w:textAlignment w:val="baseline"/>
    </w:pPr>
    <w:rPr>
      <w:lang w:eastAsia="ja-JP"/>
    </w:rPr>
  </w:style>
  <w:style w:type="character" w:customStyle="1" w:styleId="68">
    <w:name w:val="TF Char"/>
    <w:link w:val="69"/>
    <w:qFormat/>
    <w:uiPriority w:val="0"/>
    <w:rPr>
      <w:rFonts w:ascii="Arial" w:hAnsi="Arial"/>
      <w:b/>
      <w:lang w:val="en-GB" w:eastAsia="en-US" w:bidi="ar-SA"/>
    </w:rPr>
  </w:style>
  <w:style w:type="paragraph" w:customStyle="1" w:styleId="69">
    <w:name w:val="TF"/>
    <w:basedOn w:val="1"/>
    <w:link w:val="68"/>
    <w:qFormat/>
    <w:uiPriority w:val="0"/>
    <w:pPr>
      <w:keepLines/>
      <w:spacing w:after="240"/>
      <w:jc w:val="center"/>
    </w:pPr>
    <w:rPr>
      <w:rFonts w:ascii="Arial" w:hAnsi="Arial" w:eastAsia="MS Mincho"/>
      <w:b/>
    </w:rPr>
  </w:style>
  <w:style w:type="character" w:customStyle="1" w:styleId="70">
    <w:name w:val="NO Char"/>
    <w:link w:val="71"/>
    <w:qFormat/>
    <w:uiPriority w:val="0"/>
    <w:rPr>
      <w:rFonts w:eastAsia="宋体"/>
      <w:lang w:val="en-GB" w:eastAsia="en-US" w:bidi="ar-SA"/>
    </w:rPr>
  </w:style>
  <w:style w:type="paragraph" w:customStyle="1" w:styleId="71">
    <w:name w:val="NO"/>
    <w:basedOn w:val="1"/>
    <w:link w:val="70"/>
    <w:qFormat/>
    <w:uiPriority w:val="0"/>
    <w:pPr>
      <w:keepLines/>
      <w:ind w:left="1135" w:hanging="851"/>
    </w:pPr>
    <w:rPr>
      <w:rFonts w:eastAsia="宋体"/>
    </w:rPr>
  </w:style>
  <w:style w:type="character" w:customStyle="1" w:styleId="72">
    <w:name w:val="Placeholder Text1"/>
    <w:semiHidden/>
    <w:qFormat/>
    <w:uiPriority w:val="99"/>
    <w:rPr>
      <w:color w:val="808080"/>
    </w:rPr>
  </w:style>
  <w:style w:type="character" w:customStyle="1" w:styleId="73">
    <w:name w:val="hps"/>
    <w:basedOn w:val="25"/>
    <w:qFormat/>
    <w:uiPriority w:val="0"/>
  </w:style>
  <w:style w:type="character" w:customStyle="1" w:styleId="74">
    <w:name w:val="TH Char"/>
    <w:link w:val="75"/>
    <w:qFormat/>
    <w:uiPriority w:val="0"/>
    <w:rPr>
      <w:rFonts w:ascii="Arial" w:hAnsi="Arial" w:eastAsia="宋体"/>
      <w:b/>
      <w:lang w:val="en-GB" w:eastAsia="en-US" w:bidi="ar-SA"/>
    </w:rPr>
  </w:style>
  <w:style w:type="paragraph" w:customStyle="1" w:styleId="75">
    <w:name w:val="TH"/>
    <w:basedOn w:val="1"/>
    <w:link w:val="74"/>
    <w:qFormat/>
    <w:uiPriority w:val="0"/>
    <w:pPr>
      <w:keepNext/>
      <w:keepLines/>
      <w:spacing w:before="60"/>
      <w:jc w:val="center"/>
    </w:pPr>
    <w:rPr>
      <w:rFonts w:ascii="Arial" w:hAnsi="Arial" w:eastAsia="宋体"/>
      <w:b/>
    </w:rPr>
  </w:style>
  <w:style w:type="character" w:customStyle="1" w:styleId="76">
    <w:name w:val="B1 (文字)"/>
    <w:qFormat/>
    <w:uiPriority w:val="0"/>
    <w:rPr>
      <w:lang w:val="en-GB" w:eastAsia="ja-JP" w:bidi="ar-SA"/>
    </w:rPr>
  </w:style>
  <w:style w:type="character" w:customStyle="1" w:styleId="77">
    <w:name w:val="TAL Car"/>
    <w:link w:val="64"/>
    <w:qFormat/>
    <w:uiPriority w:val="0"/>
    <w:rPr>
      <w:rFonts w:ascii="Arial" w:hAnsi="Arial" w:eastAsia="宋体"/>
      <w:sz w:val="18"/>
      <w:lang w:val="en-GB" w:eastAsia="en-US" w:bidi="ar-SA"/>
    </w:rPr>
  </w:style>
  <w:style w:type="character" w:customStyle="1" w:styleId="78">
    <w:name w:val="TF Zchn"/>
    <w:qFormat/>
    <w:uiPriority w:val="0"/>
    <w:rPr>
      <w:rFonts w:ascii="Arial" w:hAnsi="Arial"/>
      <w:b/>
      <w:lang w:val="en-GB" w:eastAsia="en-GB" w:bidi="ar-SA"/>
    </w:rPr>
  </w:style>
  <w:style w:type="character" w:customStyle="1" w:styleId="79">
    <w:name w:val="B3 Char2"/>
    <w:link w:val="80"/>
    <w:qFormat/>
    <w:uiPriority w:val="0"/>
    <w:rPr>
      <w:rFonts w:eastAsia="宋体"/>
      <w:lang w:val="en-GB" w:eastAsia="en-US" w:bidi="ar-SA"/>
    </w:rPr>
  </w:style>
  <w:style w:type="paragraph" w:customStyle="1" w:styleId="80">
    <w:name w:val="B3"/>
    <w:basedOn w:val="11"/>
    <w:link w:val="79"/>
    <w:qFormat/>
    <w:uiPriority w:val="0"/>
    <w:pPr>
      <w:ind w:left="1135" w:leftChars="0" w:hanging="284" w:firstLineChars="0"/>
    </w:pPr>
    <w:rPr>
      <w:rFonts w:eastAsia="宋体"/>
    </w:rPr>
  </w:style>
  <w:style w:type="character" w:customStyle="1" w:styleId="81">
    <w:name w:val="Editor's Note Char"/>
    <w:link w:val="82"/>
    <w:qFormat/>
    <w:uiPriority w:val="0"/>
    <w:rPr>
      <w:color w:val="FF0000"/>
      <w:lang w:val="en-GB" w:eastAsia="en-US" w:bidi="ar-SA"/>
    </w:rPr>
  </w:style>
  <w:style w:type="paragraph" w:customStyle="1" w:styleId="82">
    <w:name w:val="Editor's Note"/>
    <w:basedOn w:val="1"/>
    <w:link w:val="81"/>
    <w:qFormat/>
    <w:uiPriority w:val="0"/>
    <w:pPr>
      <w:keepLines/>
      <w:ind w:left="1135" w:hanging="851"/>
    </w:pPr>
    <w:rPr>
      <w:rFonts w:eastAsia="MS Mincho"/>
      <w:color w:val="FF0000"/>
    </w:rPr>
  </w:style>
  <w:style w:type="character" w:customStyle="1" w:styleId="83">
    <w:name w:val="apple-converted-space"/>
    <w:basedOn w:val="25"/>
    <w:qFormat/>
    <w:uiPriority w:val="0"/>
  </w:style>
  <w:style w:type="paragraph" w:customStyle="1" w:styleId="84">
    <w:name w:val="NW"/>
    <w:basedOn w:val="71"/>
    <w:qFormat/>
    <w:uiPriority w:val="0"/>
    <w:pPr>
      <w:spacing w:after="0"/>
    </w:pPr>
  </w:style>
  <w:style w:type="paragraph" w:customStyle="1" w:styleId="85">
    <w:name w:val="EQ"/>
    <w:basedOn w:val="1"/>
    <w:next w:val="1"/>
    <w:qFormat/>
    <w:uiPriority w:val="0"/>
    <w:pPr>
      <w:keepLines/>
      <w:tabs>
        <w:tab w:val="center" w:pos="4536"/>
        <w:tab w:val="right" w:pos="9072"/>
      </w:tabs>
    </w:pPr>
    <w:rPr>
      <w:rFonts w:eastAsia="宋体"/>
      <w:lang w:eastAsia="zh-CN"/>
    </w:rPr>
  </w:style>
  <w:style w:type="paragraph" w:customStyle="1" w:styleId="86">
    <w:name w:val="(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87">
    <w:name w:val="列出段落1"/>
    <w:basedOn w:val="1"/>
    <w:qFormat/>
    <w:uiPriority w:val="34"/>
    <w:pPr>
      <w:ind w:left="720"/>
      <w:contextualSpacing/>
    </w:pPr>
  </w:style>
  <w:style w:type="paragraph" w:customStyle="1" w:styleId="88">
    <w:name w:val="Char Char (文字) (文字) Char Char (文字) (文字) Char Char (文字) (文字) Char Char (文字) (文字)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89">
    <w:name w:val="Doc-title"/>
    <w:basedOn w:val="1"/>
    <w:next w:val="1"/>
    <w:qFormat/>
    <w:uiPriority w:val="0"/>
    <w:pPr>
      <w:spacing w:after="0"/>
      <w:ind w:left="1260" w:hanging="1260"/>
    </w:pPr>
    <w:rPr>
      <w:rFonts w:ascii="Arial" w:hAnsi="Arial" w:eastAsia="MS Mincho"/>
      <w:szCs w:val="24"/>
      <w:lang w:eastAsia="en-GB"/>
    </w:rPr>
  </w:style>
  <w:style w:type="paragraph" w:customStyle="1" w:styleId="90">
    <w:name w:val="Char Char Char Char"/>
    <w:basedOn w:val="1"/>
    <w:qFormat/>
    <w:uiPriority w:val="0"/>
    <w:pPr>
      <w:spacing w:after="160" w:line="240" w:lineRule="exact"/>
    </w:pPr>
    <w:rPr>
      <w:rFonts w:ascii="Verdana" w:hAnsi="Verdana" w:eastAsia="宋体"/>
      <w:lang w:val="en-US"/>
    </w:rPr>
  </w:style>
  <w:style w:type="paragraph" w:customStyle="1" w:styleId="91">
    <w:name w:val="text intend 1"/>
    <w:basedOn w:val="1"/>
    <w:qFormat/>
    <w:uiPriority w:val="0"/>
    <w:pPr>
      <w:numPr>
        <w:ilvl w:val="0"/>
        <w:numId w:val="2"/>
      </w:numPr>
      <w:spacing w:after="120"/>
      <w:jc w:val="both"/>
    </w:pPr>
    <w:rPr>
      <w:rFonts w:eastAsia="MS Mincho"/>
      <w:sz w:val="24"/>
      <w:lang w:val="en-US"/>
    </w:rPr>
  </w:style>
  <w:style w:type="paragraph" w:customStyle="1" w:styleId="92">
    <w:name w:val="Char Char Char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93">
    <w:name w:val="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4">
    <w:name w:val="CR Cover Page"/>
    <w:qFormat/>
    <w:uiPriority w:val="0"/>
    <w:pPr>
      <w:spacing w:after="120" w:line="259" w:lineRule="auto"/>
    </w:pPr>
    <w:rPr>
      <w:rFonts w:ascii="Arial" w:hAnsi="Arial" w:eastAsia="Batang" w:cs="Times New Roman"/>
      <w:lang w:val="en-GB" w:eastAsia="en-US" w:bidi="ar-SA"/>
    </w:rPr>
  </w:style>
  <w:style w:type="paragraph" w:customStyle="1" w:styleId="95">
    <w:name w:val="Style Heading 1NMP Heading 1H1h11h12h13h14h15h16app headin..."/>
    <w:basedOn w:val="2"/>
    <w:qFormat/>
    <w:uiPriority w:val="0"/>
    <w:pPr>
      <w:keepLines w:val="0"/>
      <w:numPr>
        <w:numId w:val="3"/>
      </w:numPr>
      <w:pBdr>
        <w:top w:val="none" w:color="auto" w:sz="0" w:space="0"/>
      </w:pBdr>
      <w:tabs>
        <w:tab w:val="left" w:pos="432"/>
      </w:tabs>
      <w:spacing w:after="60"/>
    </w:pPr>
    <w:rPr>
      <w:rFonts w:eastAsia="Batang" w:cs="Arial"/>
      <w:b/>
      <w:bCs/>
      <w:kern w:val="32"/>
      <w:sz w:val="28"/>
      <w:szCs w:val="32"/>
    </w:rPr>
  </w:style>
  <w:style w:type="paragraph" w:customStyle="1" w:styleId="96">
    <w:name w:val="Char Char1"/>
    <w:basedOn w:val="15"/>
    <w:qFormat/>
    <w:uiPriority w:val="0"/>
    <w:pPr>
      <w:widowControl w:val="0"/>
      <w:adjustRightInd w:val="0"/>
      <w:spacing w:after="0" w:line="436" w:lineRule="exact"/>
      <w:ind w:left="357"/>
      <w:outlineLvl w:val="3"/>
    </w:pPr>
    <w:rPr>
      <w:rFonts w:ascii="Tahoma" w:hAnsi="Tahoma" w:eastAsia="宋体"/>
      <w:b/>
      <w:kern w:val="2"/>
      <w:sz w:val="24"/>
      <w:szCs w:val="24"/>
      <w:lang w:val="en-US" w:eastAsia="zh-CN"/>
    </w:rPr>
  </w:style>
  <w:style w:type="paragraph" w:customStyle="1" w:styleId="97">
    <w:name w:val="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98">
    <w:name w:val="Char Char2 字元 字元 Car C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99">
    <w:name w:val="Char Char (文字) (文字) Char Char"/>
    <w:semiHidden/>
    <w:qFormat/>
    <w:uiPriority w:val="0"/>
    <w:pPr>
      <w:keepNext/>
      <w:numPr>
        <w:ilvl w:val="0"/>
        <w:numId w:val="4"/>
      </w:numPr>
      <w:autoSpaceDE w:val="0"/>
      <w:autoSpaceDN w:val="0"/>
      <w:adjustRightInd w:val="0"/>
      <w:spacing w:before="60" w:after="60" w:line="259" w:lineRule="auto"/>
      <w:jc w:val="both"/>
    </w:pPr>
    <w:rPr>
      <w:rFonts w:ascii="Arial" w:hAnsi="Arial" w:eastAsia="宋体" w:cs="Arial"/>
      <w:color w:val="0000FF"/>
      <w:kern w:val="2"/>
      <w:lang w:val="en-US" w:eastAsia="zh-CN" w:bidi="ar-SA"/>
    </w:rPr>
  </w:style>
  <w:style w:type="paragraph" w:customStyle="1" w:styleId="100">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10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02">
    <w:name w:val="Reference"/>
    <w:basedOn w:val="1"/>
    <w:qFormat/>
    <w:uiPriority w:val="0"/>
    <w:pPr>
      <w:widowControl w:val="0"/>
      <w:numPr>
        <w:ilvl w:val="0"/>
        <w:numId w:val="5"/>
      </w:numPr>
      <w:spacing w:after="0"/>
      <w:jc w:val="both"/>
    </w:pPr>
    <w:rPr>
      <w:rFonts w:eastAsia="MS Mincho"/>
      <w:kern w:val="2"/>
      <w:sz w:val="21"/>
      <w:szCs w:val="24"/>
      <w:lang w:val="de-DE" w:eastAsia="ja-JP"/>
    </w:rPr>
  </w:style>
  <w:style w:type="paragraph" w:customStyle="1" w:styleId="103">
    <w:name w:val="Style4"/>
    <w:basedOn w:val="1"/>
    <w:qFormat/>
    <w:uiPriority w:val="0"/>
    <w:pPr>
      <w:keepNext/>
      <w:spacing w:before="480" w:after="120" w:line="380" w:lineRule="atLeast"/>
      <w:outlineLvl w:val="2"/>
    </w:pPr>
    <w:rPr>
      <w:rFonts w:ascii="Arial" w:hAnsi="Arial" w:cs="Arial"/>
      <w:b/>
      <w:sz w:val="28"/>
      <w:szCs w:val="28"/>
    </w:rPr>
  </w:style>
  <w:style w:type="paragraph" w:customStyle="1" w:styleId="104">
    <w:name w:val="标题2"/>
    <w:basedOn w:val="1"/>
    <w:qFormat/>
    <w:uiPriority w:val="0"/>
    <w:pPr>
      <w:widowControl w:val="0"/>
      <w:autoSpaceDE w:val="0"/>
      <w:autoSpaceDN w:val="0"/>
      <w:adjustRightInd w:val="0"/>
      <w:spacing w:after="0" w:line="360" w:lineRule="auto"/>
    </w:pPr>
    <w:rPr>
      <w:rFonts w:ascii="宋体" w:eastAsia="宋体"/>
      <w:sz w:val="24"/>
      <w:lang w:val="en-US" w:eastAsia="zh-CN"/>
    </w:rPr>
  </w:style>
  <w:style w:type="paragraph" w:customStyle="1" w:styleId="105">
    <w:name w:val="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06">
    <w:name w:val="Revision1"/>
    <w:semiHidden/>
    <w:qFormat/>
    <w:uiPriority w:val="99"/>
    <w:pPr>
      <w:spacing w:after="160" w:line="259" w:lineRule="auto"/>
    </w:pPr>
    <w:rPr>
      <w:rFonts w:ascii="Times New Roman" w:hAnsi="Times New Roman" w:eastAsia="Times New Roman" w:cs="Times New Roman"/>
      <w:lang w:val="en-GB" w:eastAsia="en-US" w:bidi="ar-SA"/>
    </w:rPr>
  </w:style>
  <w:style w:type="paragraph" w:customStyle="1" w:styleId="107">
    <w:name w:val="Char Char 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lang w:val="en-US" w:eastAsia="zh-CN" w:bidi="ar-SA"/>
    </w:rPr>
  </w:style>
  <w:style w:type="paragraph" w:customStyle="1" w:styleId="108">
    <w:name w:val="references"/>
    <w:qFormat/>
    <w:uiPriority w:val="0"/>
    <w:pPr>
      <w:numPr>
        <w:ilvl w:val="0"/>
        <w:numId w:val="6"/>
      </w:numPr>
      <w:spacing w:after="50" w:line="180" w:lineRule="exact"/>
      <w:jc w:val="both"/>
    </w:pPr>
    <w:rPr>
      <w:rFonts w:ascii="Times New Roman" w:hAnsi="Times New Roman" w:eastAsia="MS Mincho" w:cs="Times New Roman"/>
      <w:szCs w:val="16"/>
      <w:lang w:val="en-US" w:eastAsia="en-US" w:bidi="ar-SA"/>
    </w:rPr>
  </w:style>
  <w:style w:type="paragraph" w:customStyle="1" w:styleId="109">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110">
    <w:name w:val="FP"/>
    <w:basedOn w:val="1"/>
    <w:qFormat/>
    <w:uiPriority w:val="0"/>
    <w:pPr>
      <w:spacing w:after="0"/>
    </w:pPr>
    <w:rPr>
      <w:rFonts w:eastAsia="宋体"/>
    </w:rPr>
  </w:style>
  <w:style w:type="paragraph" w:customStyle="1" w:styleId="111">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112">
    <w:name w:val="Proposal"/>
    <w:basedOn w:val="1"/>
    <w:qFormat/>
    <w:uiPriority w:val="0"/>
    <w:pPr>
      <w:numPr>
        <w:ilvl w:val="0"/>
        <w:numId w:val="7"/>
      </w:numPr>
      <w:tabs>
        <w:tab w:val="left" w:pos="1701"/>
      </w:tabs>
      <w:overflowPunct w:val="0"/>
      <w:textAlignment w:val="baseline"/>
    </w:pPr>
    <w:rPr>
      <w:rFonts w:ascii="Arial" w:hAnsi="Arial" w:eastAsia="宋体"/>
      <w:b/>
      <w:bCs/>
      <w:lang w:eastAsia="zh-CN"/>
    </w:rPr>
  </w:style>
  <w:style w:type="paragraph" w:customStyle="1" w:styleId="113">
    <w:name w:val="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eastAsia="宋体" w:cs="Arial"/>
      <w:color w:val="0000FF"/>
      <w:kern w:val="2"/>
      <w:szCs w:val="24"/>
      <w:lang w:val="en-US" w:eastAsia="zh-CN" w:bidi="ar-SA"/>
    </w:rPr>
  </w:style>
  <w:style w:type="paragraph" w:customStyle="1" w:styleId="114">
    <w:name w:val="List Paragraph11"/>
    <w:basedOn w:val="1"/>
    <w:qFormat/>
    <w:uiPriority w:val="34"/>
    <w:pPr>
      <w:spacing w:after="200" w:line="276" w:lineRule="auto"/>
      <w:ind w:firstLine="420" w:firstLineChars="200"/>
    </w:pPr>
    <w:rPr>
      <w:rFonts w:ascii="Calibri" w:hAnsi="Calibri" w:eastAsia="Calibri"/>
      <w:sz w:val="22"/>
      <w:szCs w:val="22"/>
      <w:lang w:val="en-US"/>
    </w:rPr>
  </w:style>
  <w:style w:type="paragraph" w:customStyle="1" w:styleId="115">
    <w:name w:val="Char"/>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6">
    <w:name w:val="doc-title"/>
    <w:basedOn w:val="1"/>
    <w:qFormat/>
    <w:uiPriority w:val="0"/>
    <w:pPr>
      <w:spacing w:before="100" w:beforeAutospacing="1" w:after="100" w:afterAutospacing="1"/>
    </w:pPr>
    <w:rPr>
      <w:rFonts w:eastAsia="宋体"/>
      <w:sz w:val="24"/>
      <w:szCs w:val="24"/>
      <w:lang w:val="en-US" w:eastAsia="zh-CN"/>
    </w:rPr>
  </w:style>
  <w:style w:type="paragraph" w:customStyle="1" w:styleId="117">
    <w:name w:val="reference"/>
    <w:basedOn w:val="16"/>
    <w:qFormat/>
    <w:uiPriority w:val="0"/>
    <w:pPr>
      <w:numPr>
        <w:ilvl w:val="0"/>
        <w:numId w:val="8"/>
      </w:numPr>
      <w:tabs>
        <w:tab w:val="left" w:pos="360"/>
      </w:tabs>
      <w:overflowPunct/>
      <w:autoSpaceDE/>
      <w:autoSpaceDN/>
      <w:adjustRightInd/>
      <w:textAlignment w:val="auto"/>
    </w:pPr>
    <w:rPr>
      <w:rFonts w:ascii="Times" w:hAnsi="Times" w:eastAsia="Times New Roman"/>
      <w:szCs w:val="24"/>
      <w:lang w:val="en-US"/>
    </w:rPr>
  </w:style>
  <w:style w:type="paragraph" w:customStyle="1" w:styleId="118">
    <w:name w:val="Char Char Char Char (文字) (文字)"/>
    <w:semiHidden/>
    <w:qFormat/>
    <w:uiPriority w:val="0"/>
    <w:pPr>
      <w:keepNext/>
      <w:tabs>
        <w:tab w:val="left" w:pos="851"/>
      </w:tabs>
      <w:autoSpaceDE w:val="0"/>
      <w:autoSpaceDN w:val="0"/>
      <w:adjustRightInd w:val="0"/>
      <w:spacing w:before="60" w:after="60" w:line="259" w:lineRule="auto"/>
      <w:ind w:left="851" w:hanging="851"/>
      <w:jc w:val="both"/>
    </w:pPr>
    <w:rPr>
      <w:rFonts w:ascii="Times New Roman" w:hAnsi="Times New Roman" w:eastAsia="宋体" w:cs="Arial"/>
      <w:color w:val="0000FF"/>
      <w:kern w:val="2"/>
      <w:sz w:val="22"/>
      <w:lang w:val="en-US" w:eastAsia="zh-CN" w:bidi="ar-SA"/>
    </w:rPr>
  </w:style>
  <w:style w:type="paragraph" w:customStyle="1" w:styleId="119">
    <w:name w:val="B5"/>
    <w:basedOn w:val="22"/>
    <w:qFormat/>
    <w:uiPriority w:val="0"/>
    <w:pPr>
      <w:ind w:left="1702" w:leftChars="0" w:hanging="284" w:firstLineChars="0"/>
    </w:pPr>
    <w:rPr>
      <w:rFonts w:eastAsia="宋体"/>
    </w:rPr>
  </w:style>
  <w:style w:type="paragraph" w:customStyle="1" w:styleId="120">
    <w:name w:val="EW"/>
    <w:basedOn w:val="1"/>
    <w:qFormat/>
    <w:uiPriority w:val="0"/>
    <w:pPr>
      <w:keepLines/>
      <w:spacing w:after="0"/>
      <w:ind w:left="1702" w:hanging="1418"/>
    </w:pPr>
    <w:rPr>
      <w:rFonts w:eastAsia="宋体"/>
    </w:rPr>
  </w:style>
  <w:style w:type="paragraph" w:customStyle="1" w:styleId="121">
    <w:name w:val="列出段落2"/>
    <w:basedOn w:val="1"/>
    <w:qFormat/>
    <w:uiPriority w:val="99"/>
    <w:pPr>
      <w:ind w:left="720"/>
      <w:contextualSpacing/>
    </w:pPr>
  </w:style>
  <w:style w:type="paragraph" w:customStyle="1" w:styleId="122">
    <w:name w:val="列出段落3"/>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3">
    <w:name w:val="List Paragraph2"/>
    <w:basedOn w:val="1"/>
    <w:qFormat/>
    <w:uiPriority w:val="34"/>
    <w:pPr>
      <w:overflowPunct w:val="0"/>
      <w:autoSpaceDE w:val="0"/>
      <w:autoSpaceDN w:val="0"/>
      <w:adjustRightInd w:val="0"/>
      <w:ind w:left="720"/>
      <w:contextualSpacing/>
      <w:textAlignment w:val="baseline"/>
    </w:pPr>
    <w:rPr>
      <w:rFonts w:eastAsia="宋体"/>
      <w:lang w:eastAsia="ja-JP"/>
    </w:rPr>
  </w:style>
  <w:style w:type="paragraph" w:customStyle="1" w:styleId="124">
    <w:name w:val="List Paragraph3"/>
    <w:basedOn w:val="1"/>
    <w:qFormat/>
    <w:uiPriority w:val="34"/>
    <w:pPr>
      <w:overflowPunct w:val="0"/>
      <w:autoSpaceDE w:val="0"/>
      <w:autoSpaceDN w:val="0"/>
      <w:adjustRightInd w:val="0"/>
      <w:ind w:left="720"/>
      <w:contextualSpacing/>
      <w:textAlignment w:val="baseline"/>
    </w:pPr>
    <w:rPr>
      <w:rFonts w:eastAsia="宋体"/>
      <w:lang w:eastAsia="ja-JP"/>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oleObject" Target="embeddings/oleObject2.bin"/><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2.xml"/><Relationship Id="rId33" Type="http://schemas.openxmlformats.org/officeDocument/2006/relationships/fontTable" Target="fontTable.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3.emf"/><Relationship Id="rId3" Type="http://schemas.openxmlformats.org/officeDocument/2006/relationships/footer" Target="footer1.xml"/><Relationship Id="rId29" Type="http://schemas.openxmlformats.org/officeDocument/2006/relationships/oleObject" Target="embeddings/oleObject12.bin"/><Relationship Id="rId28" Type="http://schemas.openxmlformats.org/officeDocument/2006/relationships/image" Target="media/image12.emf"/><Relationship Id="rId27" Type="http://schemas.openxmlformats.org/officeDocument/2006/relationships/oleObject" Target="embeddings/oleObject11.bin"/><Relationship Id="rId26" Type="http://schemas.openxmlformats.org/officeDocument/2006/relationships/image" Target="media/image11.wmf"/><Relationship Id="rId25" Type="http://schemas.openxmlformats.org/officeDocument/2006/relationships/oleObject" Target="embeddings/oleObject10.bin"/><Relationship Id="rId24" Type="http://schemas.openxmlformats.org/officeDocument/2006/relationships/image" Target="media/image10.emf"/><Relationship Id="rId23" Type="http://schemas.openxmlformats.org/officeDocument/2006/relationships/oleObject" Target="embeddings/oleObject9.bin"/><Relationship Id="rId22" Type="http://schemas.openxmlformats.org/officeDocument/2006/relationships/image" Target="media/image9.emf"/><Relationship Id="rId21" Type="http://schemas.openxmlformats.org/officeDocument/2006/relationships/oleObject" Target="embeddings/oleObject8.bin"/><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7.emf"/><Relationship Id="rId17" Type="http://schemas.openxmlformats.org/officeDocument/2006/relationships/oleObject" Target="embeddings/oleObject6.bin"/><Relationship Id="rId16" Type="http://schemas.openxmlformats.org/officeDocument/2006/relationships/image" Target="media/image6.emf"/><Relationship Id="rId15" Type="http://schemas.openxmlformats.org/officeDocument/2006/relationships/oleObject" Target="embeddings/oleObject5.bin"/><Relationship Id="rId14" Type="http://schemas.openxmlformats.org/officeDocument/2006/relationships/image" Target="media/image5.png"/><Relationship Id="rId13" Type="http://schemas.openxmlformats.org/officeDocument/2006/relationships/image" Target="media/image4.emf"/><Relationship Id="rId12" Type="http://schemas.openxmlformats.org/officeDocument/2006/relationships/oleObject" Target="embeddings/oleObject4.bin"/><Relationship Id="rId11" Type="http://schemas.openxmlformats.org/officeDocument/2006/relationships/image" Target="media/image3.emf"/><Relationship Id="rId10" Type="http://schemas.openxmlformats.org/officeDocument/2006/relationships/oleObject" Target="embeddings/oleObject3.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12</Pages>
  <Words>4694</Words>
  <Characters>26759</Characters>
  <Lines>222</Lines>
  <Paragraphs>62</Paragraphs>
  <TotalTime>0</TotalTime>
  <ScaleCrop>false</ScaleCrop>
  <LinksUpToDate>false</LinksUpToDate>
  <CharactersWithSpaces>31391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2018-11-02T18:04:00Z</dcterms:created>
  <dc:creator>ZTE</dc:creator>
  <cp:lastModifiedBy>Yang Ling</cp:lastModifiedBy>
  <cp:lastPrinted>2018-02-16T23:29:00Z</cp:lastPrinted>
  <dcterms:modified xsi:type="dcterms:W3CDTF">2019-08-17T03:55:25Z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